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8647" w:type="dxa"/>
        <w:tblInd w:w="-426" w:type="dxa"/>
        <w:tblLook w:val="0000" w:firstRow="0" w:lastRow="0" w:firstColumn="0" w:lastColumn="0" w:noHBand="0" w:noVBand="0"/>
        <w:tblCaption w:val="Cabinet report summary details"/>
      </w:tblPr>
      <w:tblGrid>
        <w:gridCol w:w="3397"/>
        <w:gridCol w:w="5250"/>
      </w:tblGrid>
      <w:tr w:rsidR="00333FAA" w14:paraId="322EF0DF" w14:textId="77777777" w:rsidTr="65613ECC">
        <w:trPr>
          <w:tblHeader/>
        </w:trPr>
        <w:tc>
          <w:tcPr>
            <w:tcW w:w="3397"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250"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65613ECC">
        <w:tc>
          <w:tcPr>
            <w:tcW w:w="3397" w:type="dxa"/>
            <w:tcBorders>
              <w:top w:val="single" w:sz="18" w:space="0" w:color="auto"/>
            </w:tcBorders>
          </w:tcPr>
          <w:p w14:paraId="4DDB5947" w14:textId="4CE38882" w:rsidR="00333FAA" w:rsidRPr="00C13A5F" w:rsidRDefault="00333FAA" w:rsidP="00C869F3">
            <w:pPr>
              <w:pStyle w:val="Infotext"/>
              <w:spacing w:after="240"/>
              <w:rPr>
                <w:rFonts w:ascii="Arial Black" w:hAnsi="Arial Black" w:cs="Arial"/>
              </w:rPr>
            </w:pPr>
            <w:r w:rsidRPr="65613ECC">
              <w:rPr>
                <w:rFonts w:ascii="Arial Black" w:hAnsi="Arial Black"/>
              </w:rPr>
              <w:t>Date of Meeting:</w:t>
            </w:r>
            <w:r w:rsidR="5D03A0B1" w:rsidRPr="65613ECC">
              <w:rPr>
                <w:rFonts w:ascii="Arial Black" w:hAnsi="Arial Black"/>
              </w:rPr>
              <w:t xml:space="preserve">                                    </w:t>
            </w:r>
          </w:p>
        </w:tc>
        <w:tc>
          <w:tcPr>
            <w:tcW w:w="5250" w:type="dxa"/>
            <w:tcBorders>
              <w:top w:val="single" w:sz="18" w:space="0" w:color="auto"/>
            </w:tcBorders>
          </w:tcPr>
          <w:p w14:paraId="72FCD075" w14:textId="7F6FA999" w:rsidR="00AC23C0" w:rsidRPr="005E3A10" w:rsidRDefault="00AC23C0" w:rsidP="00A53B04">
            <w:pPr>
              <w:rPr>
                <w:rFonts w:cs="Arial"/>
                <w:szCs w:val="24"/>
              </w:rPr>
            </w:pPr>
            <w:r>
              <w:rPr>
                <w:rFonts w:cs="Arial"/>
                <w:szCs w:val="24"/>
              </w:rPr>
              <w:t>13</w:t>
            </w:r>
            <w:r w:rsidRPr="00AC23C0">
              <w:rPr>
                <w:rFonts w:cs="Arial"/>
                <w:szCs w:val="24"/>
                <w:vertAlign w:val="superscript"/>
              </w:rPr>
              <w:t>th</w:t>
            </w:r>
            <w:r>
              <w:rPr>
                <w:rFonts w:cs="Arial"/>
                <w:szCs w:val="24"/>
              </w:rPr>
              <w:t xml:space="preserve"> October 2022</w:t>
            </w:r>
          </w:p>
        </w:tc>
      </w:tr>
      <w:tr w:rsidR="00AE0BF9" w14:paraId="3CC97725" w14:textId="77777777" w:rsidTr="65613ECC">
        <w:tc>
          <w:tcPr>
            <w:tcW w:w="3397" w:type="dxa"/>
          </w:tcPr>
          <w:p w14:paraId="18BB8951" w14:textId="77777777" w:rsidR="00AE0BF9" w:rsidRPr="00C13A5F" w:rsidRDefault="00AE0BF9" w:rsidP="00AE0BF9">
            <w:pPr>
              <w:pStyle w:val="Infotext"/>
              <w:spacing w:after="240"/>
              <w:rPr>
                <w:rFonts w:ascii="Arial Black" w:hAnsi="Arial Black"/>
              </w:rPr>
            </w:pPr>
            <w:r w:rsidRPr="00C13A5F">
              <w:rPr>
                <w:rFonts w:ascii="Arial Black" w:hAnsi="Arial Black" w:cs="Arial"/>
              </w:rPr>
              <w:t>Subject:</w:t>
            </w:r>
          </w:p>
        </w:tc>
        <w:tc>
          <w:tcPr>
            <w:tcW w:w="5250" w:type="dxa"/>
          </w:tcPr>
          <w:p w14:paraId="6D8FB2C1" w14:textId="7B9CBED6" w:rsidR="00AE0BF9" w:rsidRPr="005E3A10" w:rsidRDefault="00AE0BF9" w:rsidP="00AE0BF9">
            <w:pPr>
              <w:rPr>
                <w:rFonts w:cs="Arial"/>
                <w:szCs w:val="24"/>
              </w:rPr>
            </w:pPr>
            <w:r w:rsidRPr="00723CB2">
              <w:rPr>
                <w:rFonts w:cstheme="minorHAnsi"/>
                <w:szCs w:val="24"/>
              </w:rPr>
              <w:t>Inter Authority Agreement for Legal Services</w:t>
            </w:r>
          </w:p>
        </w:tc>
      </w:tr>
      <w:tr w:rsidR="00AE0BF9" w14:paraId="32449166" w14:textId="77777777" w:rsidTr="65613ECC">
        <w:tc>
          <w:tcPr>
            <w:tcW w:w="3397" w:type="dxa"/>
          </w:tcPr>
          <w:p w14:paraId="17ECA8FA" w14:textId="77777777" w:rsidR="00AE0BF9" w:rsidRPr="00C13A5F" w:rsidRDefault="00AE0BF9" w:rsidP="00AE0BF9">
            <w:pPr>
              <w:pStyle w:val="Infotext"/>
              <w:spacing w:after="240"/>
              <w:rPr>
                <w:rFonts w:ascii="Arial Black" w:hAnsi="Arial Black" w:cs="Arial"/>
              </w:rPr>
            </w:pPr>
            <w:r w:rsidRPr="00C13A5F">
              <w:rPr>
                <w:rFonts w:ascii="Arial Black" w:hAnsi="Arial Black" w:cs="Arial"/>
              </w:rPr>
              <w:t>Key Decision:</w:t>
            </w:r>
          </w:p>
        </w:tc>
        <w:tc>
          <w:tcPr>
            <w:tcW w:w="5250" w:type="dxa"/>
          </w:tcPr>
          <w:p w14:paraId="6D1B2CD3" w14:textId="53B106D8" w:rsidR="00AE0BF9" w:rsidRPr="00E45B05" w:rsidRDefault="00AE0BF9" w:rsidP="00AE0BF9">
            <w:pPr>
              <w:pStyle w:val="Infotext"/>
              <w:rPr>
                <w:rFonts w:cstheme="minorHAnsi"/>
                <w:sz w:val="24"/>
                <w:szCs w:val="24"/>
              </w:rPr>
            </w:pPr>
            <w:r w:rsidRPr="00E45B05">
              <w:rPr>
                <w:rFonts w:cstheme="minorHAnsi"/>
                <w:sz w:val="24"/>
                <w:szCs w:val="24"/>
              </w:rPr>
              <w:t>No</w:t>
            </w:r>
          </w:p>
          <w:p w14:paraId="3EADF2B3" w14:textId="77777777" w:rsidR="00AE0BF9" w:rsidRPr="005E3A10" w:rsidRDefault="00AE0BF9" w:rsidP="00AE0BF9">
            <w:pPr>
              <w:rPr>
                <w:rFonts w:cs="Arial"/>
                <w:szCs w:val="24"/>
              </w:rPr>
            </w:pPr>
          </w:p>
        </w:tc>
      </w:tr>
      <w:tr w:rsidR="00AE0BF9" w14:paraId="79E96200" w14:textId="77777777" w:rsidTr="65613ECC">
        <w:tc>
          <w:tcPr>
            <w:tcW w:w="3397" w:type="dxa"/>
          </w:tcPr>
          <w:p w14:paraId="0B8ABDC4" w14:textId="77777777" w:rsidR="00AE0BF9" w:rsidRPr="00C13A5F" w:rsidRDefault="00AE0BF9" w:rsidP="00AE0BF9">
            <w:pPr>
              <w:pStyle w:val="Infotext"/>
              <w:spacing w:after="240"/>
              <w:rPr>
                <w:rFonts w:ascii="Arial Black" w:hAnsi="Arial Black" w:cs="Arial"/>
              </w:rPr>
            </w:pPr>
            <w:r w:rsidRPr="00C13A5F">
              <w:rPr>
                <w:rFonts w:ascii="Arial Black" w:hAnsi="Arial Black" w:cs="Arial"/>
              </w:rPr>
              <w:t>Responsible Officer:</w:t>
            </w:r>
          </w:p>
        </w:tc>
        <w:tc>
          <w:tcPr>
            <w:tcW w:w="5250" w:type="dxa"/>
          </w:tcPr>
          <w:p w14:paraId="0CA0A9C6" w14:textId="3F52FD7F" w:rsidR="00AE0BF9" w:rsidRPr="00E45B05" w:rsidRDefault="00347A51" w:rsidP="00347A51">
            <w:pPr>
              <w:pStyle w:val="Infotext"/>
              <w:rPr>
                <w:rFonts w:cstheme="minorHAnsi"/>
                <w:sz w:val="24"/>
                <w:szCs w:val="24"/>
              </w:rPr>
            </w:pPr>
            <w:r w:rsidRPr="00723CB2">
              <w:rPr>
                <w:rFonts w:cstheme="minorHAnsi"/>
                <w:sz w:val="24"/>
                <w:szCs w:val="24"/>
              </w:rPr>
              <w:t xml:space="preserve">Hugh Peart </w:t>
            </w:r>
            <w:r w:rsidR="0090015D">
              <w:rPr>
                <w:rFonts w:cstheme="minorHAnsi"/>
                <w:sz w:val="24"/>
                <w:szCs w:val="24"/>
              </w:rPr>
              <w:t xml:space="preserve">- </w:t>
            </w:r>
            <w:r w:rsidRPr="00723CB2">
              <w:rPr>
                <w:rFonts w:cstheme="minorHAnsi"/>
                <w:sz w:val="24"/>
                <w:szCs w:val="24"/>
              </w:rPr>
              <w:t>Director of Legal and Governance</w:t>
            </w:r>
            <w:r w:rsidR="00994B25">
              <w:rPr>
                <w:rFonts w:cstheme="minorHAnsi"/>
                <w:sz w:val="24"/>
                <w:szCs w:val="24"/>
              </w:rPr>
              <w:t xml:space="preserve"> Services</w:t>
            </w:r>
            <w:r w:rsidRPr="00E45B05">
              <w:rPr>
                <w:rFonts w:cstheme="minorHAnsi"/>
                <w:sz w:val="24"/>
                <w:szCs w:val="24"/>
              </w:rPr>
              <w:t xml:space="preserve"> </w:t>
            </w:r>
          </w:p>
          <w:p w14:paraId="3798BF23" w14:textId="6F75934B" w:rsidR="00347A51" w:rsidRPr="00E45B05" w:rsidRDefault="00347A51" w:rsidP="00347A51">
            <w:pPr>
              <w:pStyle w:val="Infotext"/>
              <w:rPr>
                <w:rFonts w:cstheme="minorHAnsi"/>
                <w:sz w:val="24"/>
                <w:szCs w:val="24"/>
              </w:rPr>
            </w:pPr>
          </w:p>
        </w:tc>
      </w:tr>
      <w:tr w:rsidR="00AE0BF9" w14:paraId="3B6FD8B1" w14:textId="77777777" w:rsidTr="0090015D">
        <w:tc>
          <w:tcPr>
            <w:tcW w:w="3397" w:type="dxa"/>
          </w:tcPr>
          <w:p w14:paraId="0961945D" w14:textId="77777777" w:rsidR="00AE0BF9" w:rsidRPr="00C13A5F" w:rsidRDefault="00AE0BF9" w:rsidP="00AE0BF9">
            <w:pPr>
              <w:pStyle w:val="Infotext"/>
              <w:spacing w:after="240"/>
              <w:rPr>
                <w:rFonts w:ascii="Arial Black" w:hAnsi="Arial Black"/>
              </w:rPr>
            </w:pPr>
            <w:r w:rsidRPr="00DB6C3D">
              <w:rPr>
                <w:rFonts w:ascii="Arial Black" w:hAnsi="Arial Black"/>
              </w:rPr>
              <w:t>Portfolio Holder:</w:t>
            </w:r>
          </w:p>
        </w:tc>
        <w:tc>
          <w:tcPr>
            <w:tcW w:w="5250" w:type="dxa"/>
          </w:tcPr>
          <w:p w14:paraId="7CB7F25D" w14:textId="705EB380" w:rsidR="00AE0BF9" w:rsidRPr="00E45B05" w:rsidRDefault="00751490" w:rsidP="00AE0BF9">
            <w:pPr>
              <w:pStyle w:val="Infotext"/>
              <w:rPr>
                <w:rFonts w:cstheme="minorHAnsi"/>
                <w:sz w:val="24"/>
                <w:szCs w:val="24"/>
              </w:rPr>
            </w:pPr>
            <w:r w:rsidRPr="00723CB2">
              <w:rPr>
                <w:rFonts w:cstheme="minorHAnsi"/>
                <w:sz w:val="24"/>
                <w:szCs w:val="24"/>
              </w:rPr>
              <w:t>Councillor Stephen Greek</w:t>
            </w:r>
            <w:r w:rsidR="0090015D">
              <w:rPr>
                <w:rFonts w:cstheme="minorHAnsi"/>
                <w:sz w:val="24"/>
                <w:szCs w:val="24"/>
              </w:rPr>
              <w:t xml:space="preserve"> - </w:t>
            </w:r>
            <w:r w:rsidRPr="00E45B05">
              <w:rPr>
                <w:rFonts w:cstheme="minorHAnsi"/>
                <w:sz w:val="24"/>
                <w:szCs w:val="24"/>
              </w:rPr>
              <w:t>Portfolio Holder for Performance, Communications &amp; Customer Experience</w:t>
            </w:r>
          </w:p>
          <w:p w14:paraId="39A9A01A" w14:textId="50EF05A2" w:rsidR="004F5501" w:rsidRPr="005E3A10" w:rsidRDefault="004F5501" w:rsidP="00AE0BF9">
            <w:pPr>
              <w:pStyle w:val="Infotext"/>
              <w:rPr>
                <w:rFonts w:cs="Arial"/>
                <w:color w:val="FF0000"/>
                <w:sz w:val="24"/>
                <w:szCs w:val="24"/>
              </w:rPr>
            </w:pPr>
          </w:p>
        </w:tc>
      </w:tr>
      <w:tr w:rsidR="00AE0BF9" w14:paraId="3CF618C8" w14:textId="77777777" w:rsidTr="0090015D">
        <w:tc>
          <w:tcPr>
            <w:tcW w:w="3397" w:type="dxa"/>
          </w:tcPr>
          <w:p w14:paraId="4CD8D092" w14:textId="08C5C5A6" w:rsidR="0090015D" w:rsidRPr="00C13A5F" w:rsidRDefault="00AE0BF9" w:rsidP="0090015D">
            <w:pPr>
              <w:pStyle w:val="Infotext"/>
              <w:spacing w:after="240"/>
              <w:rPr>
                <w:rFonts w:ascii="Arial Black" w:hAnsi="Arial Black"/>
              </w:rPr>
            </w:pPr>
            <w:r w:rsidRPr="00DB6C3D">
              <w:rPr>
                <w:rFonts w:ascii="Arial Black" w:hAnsi="Arial Black"/>
              </w:rPr>
              <w:t>Exempt:</w:t>
            </w:r>
          </w:p>
        </w:tc>
        <w:tc>
          <w:tcPr>
            <w:tcW w:w="5250" w:type="dxa"/>
          </w:tcPr>
          <w:p w14:paraId="34C65BD0" w14:textId="24A25327" w:rsidR="00AE0BF9" w:rsidRPr="00E45B05" w:rsidRDefault="00AE0BF9" w:rsidP="00AE0BF9">
            <w:pPr>
              <w:pStyle w:val="Infotext"/>
              <w:rPr>
                <w:rFonts w:cstheme="minorHAnsi"/>
                <w:sz w:val="24"/>
                <w:szCs w:val="24"/>
              </w:rPr>
            </w:pPr>
            <w:r w:rsidRPr="00E45B05">
              <w:rPr>
                <w:rFonts w:cstheme="minorHAnsi"/>
                <w:sz w:val="24"/>
                <w:szCs w:val="24"/>
              </w:rPr>
              <w:t>No</w:t>
            </w:r>
          </w:p>
          <w:p w14:paraId="755E47D1" w14:textId="6504C94A" w:rsidR="00AE0BF9" w:rsidRPr="005E3A10" w:rsidRDefault="00AE0BF9" w:rsidP="002E45A6">
            <w:pPr>
              <w:pStyle w:val="Infotext"/>
              <w:rPr>
                <w:rFonts w:cs="Arial"/>
                <w:color w:val="FF0000"/>
                <w:sz w:val="24"/>
                <w:szCs w:val="24"/>
              </w:rPr>
            </w:pPr>
          </w:p>
        </w:tc>
      </w:tr>
      <w:tr w:rsidR="00AE0BF9" w14:paraId="577CD75A" w14:textId="77777777" w:rsidTr="0090015D">
        <w:tc>
          <w:tcPr>
            <w:tcW w:w="3397" w:type="dxa"/>
          </w:tcPr>
          <w:p w14:paraId="4821943C" w14:textId="65A197EF" w:rsidR="0090015D" w:rsidRPr="00C13A5F" w:rsidRDefault="00AE0BF9" w:rsidP="0090015D">
            <w:pPr>
              <w:pStyle w:val="Infotext"/>
              <w:spacing w:after="240"/>
              <w:rPr>
                <w:rFonts w:ascii="Arial Black" w:hAnsi="Arial Black"/>
              </w:rPr>
            </w:pPr>
            <w:r w:rsidRPr="00DB6C3D">
              <w:rPr>
                <w:rFonts w:ascii="Arial Black" w:hAnsi="Arial Black"/>
              </w:rPr>
              <w:t>Decision subject to Call-in:</w:t>
            </w:r>
          </w:p>
        </w:tc>
        <w:tc>
          <w:tcPr>
            <w:tcW w:w="5250" w:type="dxa"/>
          </w:tcPr>
          <w:p w14:paraId="7A66A8CE" w14:textId="77777777" w:rsidR="00353F78" w:rsidRPr="00E45B05" w:rsidRDefault="00353F78" w:rsidP="00E45B05">
            <w:pPr>
              <w:pStyle w:val="Infotext"/>
              <w:rPr>
                <w:rFonts w:cstheme="minorHAnsi"/>
                <w:sz w:val="24"/>
                <w:szCs w:val="24"/>
              </w:rPr>
            </w:pPr>
            <w:r w:rsidRPr="00E45B05">
              <w:rPr>
                <w:rFonts w:cstheme="minorHAnsi"/>
                <w:sz w:val="24"/>
                <w:szCs w:val="24"/>
              </w:rPr>
              <w:t xml:space="preserve">Yes </w:t>
            </w:r>
          </w:p>
          <w:p w14:paraId="3A75E271" w14:textId="77777777" w:rsidR="00AE0BF9" w:rsidRPr="005E3A10" w:rsidRDefault="00AE0BF9" w:rsidP="008978A7">
            <w:pPr>
              <w:rPr>
                <w:rFonts w:cs="Arial"/>
                <w:szCs w:val="24"/>
              </w:rPr>
            </w:pPr>
          </w:p>
        </w:tc>
      </w:tr>
      <w:tr w:rsidR="0090015D" w14:paraId="006702BB" w14:textId="77777777" w:rsidTr="0090015D">
        <w:tc>
          <w:tcPr>
            <w:tcW w:w="3397" w:type="dxa"/>
          </w:tcPr>
          <w:p w14:paraId="3049DB7E" w14:textId="0480B29D" w:rsidR="0090015D" w:rsidRPr="00D92E3F" w:rsidRDefault="0090015D" w:rsidP="0090015D">
            <w:pPr>
              <w:pStyle w:val="Infotext"/>
              <w:spacing w:after="240"/>
              <w:rPr>
                <w:rFonts w:ascii="Arial Black" w:hAnsi="Arial Black"/>
              </w:rPr>
            </w:pPr>
          </w:p>
        </w:tc>
        <w:tc>
          <w:tcPr>
            <w:tcW w:w="5250" w:type="dxa"/>
          </w:tcPr>
          <w:p w14:paraId="1C7645F8" w14:textId="7BFF1976" w:rsidR="0090015D" w:rsidRPr="00D92E3F" w:rsidRDefault="0090015D" w:rsidP="0090015D">
            <w:pPr>
              <w:pStyle w:val="Infotext"/>
              <w:rPr>
                <w:rFonts w:cstheme="minorHAnsi"/>
                <w:sz w:val="24"/>
                <w:szCs w:val="24"/>
              </w:rPr>
            </w:pPr>
          </w:p>
        </w:tc>
      </w:tr>
      <w:tr w:rsidR="0090015D" w14:paraId="7E5497E1" w14:textId="77777777" w:rsidTr="0090015D">
        <w:tc>
          <w:tcPr>
            <w:tcW w:w="3397" w:type="dxa"/>
          </w:tcPr>
          <w:p w14:paraId="6B5E6A6A" w14:textId="350D2839" w:rsidR="0090015D" w:rsidRPr="00D92E3F" w:rsidRDefault="0090015D" w:rsidP="0090015D">
            <w:pPr>
              <w:pStyle w:val="Infotext"/>
              <w:spacing w:after="240"/>
              <w:rPr>
                <w:rFonts w:ascii="Arial Black" w:hAnsi="Arial Black" w:cs="Arial"/>
              </w:rPr>
            </w:pPr>
          </w:p>
        </w:tc>
        <w:tc>
          <w:tcPr>
            <w:tcW w:w="5250" w:type="dxa"/>
          </w:tcPr>
          <w:p w14:paraId="52E38AE7" w14:textId="5850F67E" w:rsidR="0090015D" w:rsidRPr="00D92E3F" w:rsidRDefault="0090015D" w:rsidP="0090015D">
            <w:pPr>
              <w:pStyle w:val="Infotext"/>
              <w:rPr>
                <w:rFonts w:cstheme="minorHAnsi"/>
                <w:sz w:val="24"/>
                <w:szCs w:val="24"/>
              </w:rPr>
            </w:pPr>
          </w:p>
        </w:tc>
      </w:tr>
      <w:tr w:rsidR="0090015D" w14:paraId="5F1445BF" w14:textId="77777777" w:rsidTr="65613ECC">
        <w:tc>
          <w:tcPr>
            <w:tcW w:w="3397" w:type="dxa"/>
          </w:tcPr>
          <w:p w14:paraId="0E539C63" w14:textId="38945A91" w:rsidR="0090015D" w:rsidRPr="00C13A5F" w:rsidRDefault="0090015D" w:rsidP="0090015D">
            <w:pPr>
              <w:pStyle w:val="Infotext"/>
              <w:spacing w:after="240"/>
              <w:rPr>
                <w:rFonts w:ascii="Arial Black" w:hAnsi="Arial Black" w:cs="Arial"/>
              </w:rPr>
            </w:pPr>
          </w:p>
        </w:tc>
        <w:tc>
          <w:tcPr>
            <w:tcW w:w="5250" w:type="dxa"/>
          </w:tcPr>
          <w:p w14:paraId="6668D730" w14:textId="72FB951C" w:rsidR="0090015D" w:rsidRPr="00E45B05" w:rsidRDefault="0090015D" w:rsidP="0090015D">
            <w:pPr>
              <w:pStyle w:val="Infotext"/>
              <w:rPr>
                <w:rFonts w:cstheme="minorHAnsi"/>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525"/>
      </w:tblGrid>
      <w:tr w:rsidR="00333FAA" w14:paraId="39320826" w14:textId="77777777" w:rsidTr="2B5849C1">
        <w:trPr>
          <w:tblHeader/>
        </w:trPr>
        <w:tc>
          <w:tcPr>
            <w:tcW w:w="8525" w:type="dxa"/>
            <w:tcBorders>
              <w:top w:val="nil"/>
              <w:left w:val="nil"/>
              <w:right w:val="nil"/>
            </w:tcBorders>
          </w:tcPr>
          <w:p w14:paraId="3A67BFB3" w14:textId="2201EE02" w:rsidR="00333FAA" w:rsidRPr="00D92E3F" w:rsidRDefault="00333FAA" w:rsidP="00605A4C">
            <w:pPr>
              <w:pStyle w:val="Heading2"/>
              <w:spacing w:after="240"/>
            </w:pPr>
            <w:r w:rsidRPr="00D92E3F">
              <w:lastRenderedPageBreak/>
              <w:t>Summary and Recommendations</w:t>
            </w:r>
          </w:p>
        </w:tc>
      </w:tr>
      <w:tr w:rsidR="00333FAA" w14:paraId="5D78E563" w14:textId="77777777" w:rsidTr="2B5849C1">
        <w:trPr>
          <w:tblHeader/>
        </w:trPr>
        <w:tc>
          <w:tcPr>
            <w:tcW w:w="8525" w:type="dxa"/>
          </w:tcPr>
          <w:p w14:paraId="02274D72" w14:textId="77777777" w:rsidR="001C7E35" w:rsidRPr="00605A4C" w:rsidRDefault="00605A4C" w:rsidP="00E13BEF">
            <w:pPr>
              <w:pStyle w:val="Heading3"/>
              <w:spacing w:before="240"/>
            </w:pPr>
            <w:r>
              <w:t>Recommen</w:t>
            </w:r>
            <w:r w:rsidR="001C7E35" w:rsidRPr="00605A4C">
              <w:t xml:space="preserve">dations: </w:t>
            </w:r>
          </w:p>
          <w:p w14:paraId="253EDEAF" w14:textId="77777777" w:rsidR="00E45B05" w:rsidRDefault="00E45B05" w:rsidP="00605A4C"/>
          <w:p w14:paraId="38D2B60D" w14:textId="4D3E5146" w:rsidR="001C7E35" w:rsidRDefault="001C7E35" w:rsidP="009E69DF">
            <w:r>
              <w:t>Cabinet is requested to:</w:t>
            </w:r>
          </w:p>
          <w:p w14:paraId="01C2444D" w14:textId="77777777" w:rsidR="00204982" w:rsidRDefault="00204982" w:rsidP="009E69DF"/>
          <w:p w14:paraId="189D074C" w14:textId="32DEB1ED" w:rsidR="00873374" w:rsidRPr="004B5E6C" w:rsidRDefault="000C1662" w:rsidP="2B5849C1">
            <w:pPr>
              <w:pStyle w:val="ListParagraph"/>
              <w:numPr>
                <w:ilvl w:val="0"/>
                <w:numId w:val="4"/>
              </w:numPr>
              <w:rPr>
                <w:rFonts w:eastAsia="Arial" w:cs="Arial"/>
                <w:szCs w:val="24"/>
              </w:rPr>
            </w:pPr>
            <w:r>
              <w:t>Welcome Barnet</w:t>
            </w:r>
            <w:r w:rsidR="00544471">
              <w:t xml:space="preserve"> Council’s </w:t>
            </w:r>
            <w:r w:rsidR="00D3623E">
              <w:t xml:space="preserve">continuing </w:t>
            </w:r>
            <w:r>
              <w:t>commitment to</w:t>
            </w:r>
            <w:r w:rsidR="00CA33F1">
              <w:t xml:space="preserve"> the </w:t>
            </w:r>
            <w:r>
              <w:t>shared le</w:t>
            </w:r>
            <w:r w:rsidR="00D3623E">
              <w:t>g</w:t>
            </w:r>
            <w:r>
              <w:t>a</w:t>
            </w:r>
            <w:r w:rsidR="00D3623E">
              <w:t>l</w:t>
            </w:r>
            <w:r>
              <w:t xml:space="preserve"> prac</w:t>
            </w:r>
            <w:r w:rsidR="00D3623E">
              <w:t>t</w:t>
            </w:r>
            <w:r>
              <w:t>i</w:t>
            </w:r>
            <w:r w:rsidR="00D3623E">
              <w:t>c</w:t>
            </w:r>
            <w:r>
              <w:t>e</w:t>
            </w:r>
            <w:r w:rsidR="00D3623E">
              <w:t xml:space="preserve">, noting their wish </w:t>
            </w:r>
            <w:r w:rsidR="00D81832">
              <w:t>t</w:t>
            </w:r>
            <w:r w:rsidR="00D3623E">
              <w:t>o</w:t>
            </w:r>
            <w:r w:rsidR="00D81832">
              <w:t xml:space="preserve"> continue the arrangement for a further 5 years</w:t>
            </w:r>
            <w:r w:rsidR="00873374">
              <w:t>;</w:t>
            </w:r>
          </w:p>
          <w:p w14:paraId="332CCE1F" w14:textId="77777777" w:rsidR="004B5E6C" w:rsidRPr="004B5E6C" w:rsidRDefault="004B5E6C" w:rsidP="004B5E6C">
            <w:pPr>
              <w:ind w:left="360"/>
              <w:rPr>
                <w:rFonts w:eastAsia="Arial" w:cs="Arial"/>
                <w:szCs w:val="24"/>
              </w:rPr>
            </w:pPr>
          </w:p>
          <w:p w14:paraId="4847ED6A" w14:textId="7716158D" w:rsidR="00FA4EC5" w:rsidRPr="004B5E6C" w:rsidRDefault="00873374" w:rsidP="2B5849C1">
            <w:pPr>
              <w:pStyle w:val="ListParagraph"/>
              <w:numPr>
                <w:ilvl w:val="0"/>
                <w:numId w:val="4"/>
              </w:numPr>
              <w:rPr>
                <w:rFonts w:eastAsia="Arial" w:cs="Arial"/>
                <w:szCs w:val="24"/>
              </w:rPr>
            </w:pPr>
            <w:r>
              <w:t xml:space="preserve">Advise Slough </w:t>
            </w:r>
            <w:r w:rsidRPr="00D92E3F">
              <w:t>B</w:t>
            </w:r>
            <w:r w:rsidR="0090015D" w:rsidRPr="00D92E3F">
              <w:t xml:space="preserve">orough </w:t>
            </w:r>
            <w:r w:rsidRPr="00D92E3F">
              <w:t>C</w:t>
            </w:r>
            <w:r w:rsidR="0090015D" w:rsidRPr="00D92E3F">
              <w:t>ouncil</w:t>
            </w:r>
            <w:r w:rsidRPr="00D92E3F">
              <w:t xml:space="preserve"> </w:t>
            </w:r>
            <w:r w:rsidR="00B313DF">
              <w:t xml:space="preserve">of Harrow’s ongoing </w:t>
            </w:r>
            <w:r w:rsidR="00E718FD">
              <w:t>willingness t</w:t>
            </w:r>
            <w:r w:rsidR="00B313DF">
              <w:t>o provid</w:t>
            </w:r>
            <w:r w:rsidR="00E718FD">
              <w:t xml:space="preserve">e </w:t>
            </w:r>
            <w:r w:rsidR="00B313DF">
              <w:t>the</w:t>
            </w:r>
            <w:r w:rsidR="00CA2361">
              <w:t>i</w:t>
            </w:r>
            <w:r w:rsidR="00B313DF">
              <w:t>r legal</w:t>
            </w:r>
            <w:r w:rsidR="00CA2361">
              <w:t xml:space="preserve"> </w:t>
            </w:r>
            <w:r w:rsidR="00B313DF">
              <w:t>servi</w:t>
            </w:r>
            <w:r w:rsidR="00CA2361">
              <w:t>c</w:t>
            </w:r>
            <w:r w:rsidR="00B313DF">
              <w:t>es</w:t>
            </w:r>
            <w:r w:rsidR="00E718FD">
              <w:t>;</w:t>
            </w:r>
            <w:r w:rsidR="00FA4EC5">
              <w:t xml:space="preserve"> and</w:t>
            </w:r>
          </w:p>
          <w:p w14:paraId="0725E4A4" w14:textId="77777777" w:rsidR="004B5E6C" w:rsidRPr="004B5E6C" w:rsidRDefault="004B5E6C" w:rsidP="004B5E6C">
            <w:pPr>
              <w:pStyle w:val="ListParagraph"/>
              <w:rPr>
                <w:rFonts w:eastAsia="Arial" w:cs="Arial"/>
                <w:szCs w:val="24"/>
              </w:rPr>
            </w:pPr>
          </w:p>
          <w:p w14:paraId="01942FFF" w14:textId="4F163F60" w:rsidR="00BE3474" w:rsidRPr="00AB1D43" w:rsidRDefault="2719818C" w:rsidP="2B5849C1">
            <w:pPr>
              <w:pStyle w:val="ListParagraph"/>
              <w:numPr>
                <w:ilvl w:val="0"/>
                <w:numId w:val="4"/>
              </w:numPr>
              <w:rPr>
                <w:rFonts w:eastAsia="Arial" w:cs="Arial"/>
                <w:szCs w:val="24"/>
              </w:rPr>
            </w:pPr>
            <w:r>
              <w:t xml:space="preserve">Authorise the Director of Legal and Governance Services, following consultation with the Portfolio Holder for Performance, Communications &amp; Customer Experience </w:t>
            </w:r>
            <w:r w:rsidR="05298BD8">
              <w:t>t</w:t>
            </w:r>
            <w:r>
              <w:t>o agree an extension to the Inter Authority Agreement with the London Borough of Barnet until 2027 and with Slough Borough Council for a period of up to five years.</w:t>
            </w:r>
            <w:r w:rsidR="79D9F53E">
              <w:t xml:space="preserve">  </w:t>
            </w:r>
          </w:p>
          <w:p w14:paraId="130A1D51" w14:textId="77777777" w:rsidR="00591016" w:rsidRDefault="00591016" w:rsidP="00605A4C"/>
          <w:p w14:paraId="061365F9" w14:textId="754A09BD" w:rsidR="001C7E35" w:rsidRDefault="00E13BEF" w:rsidP="00E13BEF">
            <w:pPr>
              <w:pStyle w:val="Heading3"/>
              <w:ind w:left="0" w:firstLine="0"/>
              <w:jc w:val="left"/>
            </w:pPr>
            <w:r>
              <w:t>Reason</w:t>
            </w:r>
            <w:r w:rsidR="0090015D">
              <w:t xml:space="preserve"> (f</w:t>
            </w:r>
            <w:r w:rsidR="0090015D" w:rsidRPr="00605A4C">
              <w:t>or recommendations)</w:t>
            </w:r>
            <w:r>
              <w:t xml:space="preserve">: </w:t>
            </w:r>
          </w:p>
          <w:p w14:paraId="02C89D60" w14:textId="77777777" w:rsidR="009C5083" w:rsidRPr="009C5083" w:rsidRDefault="009C5083" w:rsidP="009C5083"/>
          <w:p w14:paraId="2C5754D2" w14:textId="452D0540" w:rsidR="004B5E6C" w:rsidRPr="00E0722D" w:rsidRDefault="7F6CFB9F" w:rsidP="002A00FB">
            <w:pPr>
              <w:pStyle w:val="ListParagraph"/>
              <w:numPr>
                <w:ilvl w:val="0"/>
                <w:numId w:val="2"/>
              </w:numPr>
              <w:spacing w:line="259" w:lineRule="auto"/>
              <w:contextualSpacing/>
              <w:rPr>
                <w:rFonts w:eastAsia="Arial" w:cs="Arial"/>
                <w:szCs w:val="24"/>
              </w:rPr>
            </w:pPr>
            <w:r>
              <w:t>T</w:t>
            </w:r>
            <w:r w:rsidR="33CA2DEC">
              <w:t>he London Borough of Barnet was with Harrow the founder member of HB Public Law in 2012</w:t>
            </w:r>
            <w:r w:rsidR="00501F30">
              <w:t xml:space="preserve">.  The initial </w:t>
            </w:r>
            <w:r w:rsidR="33CA2DEC">
              <w:t xml:space="preserve">agreement was </w:t>
            </w:r>
            <w:r w:rsidR="00FC7E07">
              <w:t xml:space="preserve">for 5 years and has been </w:t>
            </w:r>
            <w:r w:rsidR="33CA2DEC">
              <w:t xml:space="preserve">extended </w:t>
            </w:r>
            <w:r w:rsidR="000B2A0F">
              <w:t xml:space="preserve">until </w:t>
            </w:r>
            <w:r w:rsidR="33CA2DEC">
              <w:t xml:space="preserve">2022 and the proposal is to </w:t>
            </w:r>
            <w:r w:rsidR="000B2A0F">
              <w:t xml:space="preserve">further </w:t>
            </w:r>
            <w:r w:rsidR="33CA2DEC">
              <w:t>extend until 2027.</w:t>
            </w:r>
          </w:p>
          <w:p w14:paraId="67DB0EC8" w14:textId="77777777" w:rsidR="009C5083" w:rsidRPr="009C5083" w:rsidRDefault="009C5083" w:rsidP="002A00FB">
            <w:pPr>
              <w:spacing w:line="259" w:lineRule="auto"/>
              <w:ind w:left="360"/>
              <w:contextualSpacing/>
              <w:rPr>
                <w:rFonts w:eastAsia="Arial" w:cs="Arial"/>
                <w:szCs w:val="24"/>
              </w:rPr>
            </w:pPr>
          </w:p>
          <w:p w14:paraId="578A3C7A" w14:textId="654A20D9" w:rsidR="003D5F0F" w:rsidRDefault="33CA2DEC" w:rsidP="002A00FB">
            <w:pPr>
              <w:pStyle w:val="ListParagraph"/>
              <w:numPr>
                <w:ilvl w:val="0"/>
                <w:numId w:val="2"/>
              </w:numPr>
              <w:spacing w:line="259" w:lineRule="auto"/>
              <w:contextualSpacing/>
              <w:rPr>
                <w:rFonts w:eastAsia="Arial" w:cs="Arial"/>
                <w:szCs w:val="24"/>
              </w:rPr>
            </w:pPr>
            <w:r>
              <w:t xml:space="preserve">Barnet is </w:t>
            </w:r>
            <w:r w:rsidR="001477C0">
              <w:t xml:space="preserve">pleased </w:t>
            </w:r>
            <w:r>
              <w:t xml:space="preserve">with the service provided and </w:t>
            </w:r>
            <w:r w:rsidR="009B3ABA">
              <w:t xml:space="preserve">agreed to seek an extension at its </w:t>
            </w:r>
            <w:r>
              <w:t xml:space="preserve">Policy and Resources Committee on 30th September 2021. </w:t>
            </w:r>
            <w:r w:rsidR="3F07195C">
              <w:t xml:space="preserve"> </w:t>
            </w:r>
          </w:p>
          <w:p w14:paraId="6D3F07C8" w14:textId="77777777" w:rsidR="003D5F0F" w:rsidRPr="00240104" w:rsidRDefault="003D5F0F" w:rsidP="002A00FB">
            <w:pPr>
              <w:pStyle w:val="ListParagraph"/>
              <w:ind w:left="37"/>
              <w:rPr>
                <w:szCs w:val="24"/>
              </w:rPr>
            </w:pPr>
          </w:p>
          <w:p w14:paraId="261A8057" w14:textId="1755755C" w:rsidR="003D5F0F" w:rsidRDefault="736B05C6" w:rsidP="002A00FB">
            <w:pPr>
              <w:pStyle w:val="ListParagraph"/>
              <w:numPr>
                <w:ilvl w:val="0"/>
                <w:numId w:val="2"/>
              </w:numPr>
              <w:spacing w:line="259" w:lineRule="auto"/>
              <w:contextualSpacing/>
              <w:rPr>
                <w:rFonts w:eastAsia="Arial" w:cs="Arial"/>
                <w:szCs w:val="24"/>
              </w:rPr>
            </w:pPr>
            <w:r>
              <w:t xml:space="preserve">Harrow </w:t>
            </w:r>
            <w:r w:rsidR="33CA2DEC">
              <w:t xml:space="preserve">entered into a shared services agreement with Slough on 31st May 2018 and this agreement is due to expire on 1st June 2023. </w:t>
            </w:r>
            <w:r w:rsidR="3F07195C">
              <w:t xml:space="preserve"> </w:t>
            </w:r>
            <w:r w:rsidR="33CA2DEC">
              <w:t>The indications are that Slough are happy with the service</w:t>
            </w:r>
            <w:r w:rsidR="005A5274">
              <w:t xml:space="preserve">, and so </w:t>
            </w:r>
            <w:r w:rsidR="008836D9">
              <w:t>a</w:t>
            </w:r>
            <w:r w:rsidR="33CA2DEC">
              <w:t>uthority is sought to exten</w:t>
            </w:r>
            <w:r w:rsidR="009C5083">
              <w:t xml:space="preserve">d </w:t>
            </w:r>
            <w:r w:rsidR="33CA2DEC">
              <w:t>th</w:t>
            </w:r>
            <w:r w:rsidR="009C5083">
              <w:t>e arrangement</w:t>
            </w:r>
            <w:r w:rsidR="33CA2DEC">
              <w:t>.</w:t>
            </w:r>
          </w:p>
          <w:p w14:paraId="1F4C9203" w14:textId="77777777" w:rsidR="003D5F0F" w:rsidRPr="003D5F0F" w:rsidRDefault="003D5F0F" w:rsidP="003D5F0F"/>
          <w:p w14:paraId="313BC81E" w14:textId="77777777" w:rsidR="00333FAA" w:rsidRDefault="00333FAA" w:rsidP="00605A4C"/>
        </w:tc>
      </w:tr>
    </w:tbl>
    <w:p w14:paraId="76168D48" w14:textId="7E8DC594" w:rsidR="001C7E35" w:rsidRDefault="001C7E35" w:rsidP="00F06E4E">
      <w:pPr>
        <w:pStyle w:val="Heading3"/>
        <w:spacing w:before="240"/>
      </w:pPr>
      <w:r>
        <w:t>Introduct</w:t>
      </w:r>
      <w:r w:rsidR="00F86D9C">
        <w:t>ion</w:t>
      </w:r>
    </w:p>
    <w:p w14:paraId="1FE1AF9C" w14:textId="77777777" w:rsidR="000254D6" w:rsidRPr="000254D6" w:rsidRDefault="000254D6" w:rsidP="000254D6"/>
    <w:p w14:paraId="43B8BDE3" w14:textId="00C28B39" w:rsidR="00354F55" w:rsidRDefault="49AD048B" w:rsidP="2B5849C1">
      <w:pPr>
        <w:spacing w:after="160" w:line="259" w:lineRule="auto"/>
        <w:contextualSpacing/>
        <w:rPr>
          <w:szCs w:val="24"/>
        </w:rPr>
      </w:pPr>
      <w:r>
        <w:t>T</w:t>
      </w:r>
      <w:r w:rsidR="7FD8C36F">
        <w:t xml:space="preserve">his report updates Cabinet on the progress of HB Public Law </w:t>
      </w:r>
      <w:r w:rsidR="009F4534">
        <w:t xml:space="preserve">(‘HBPL’) </w:t>
      </w:r>
      <w:r w:rsidR="7FD8C36F">
        <w:t xml:space="preserve">and seeks </w:t>
      </w:r>
      <w:r w:rsidR="5C80BE4F">
        <w:t>a</w:t>
      </w:r>
      <w:r w:rsidR="7FD8C36F">
        <w:t>uthority to extend the arrangements whereby it provides legal services to the London Borough of Barnet and if required to Slough Borough Council.</w:t>
      </w:r>
    </w:p>
    <w:p w14:paraId="301E0D1A" w14:textId="10D14405" w:rsidR="0043219C" w:rsidRDefault="0043219C">
      <w:pPr>
        <w:rPr>
          <w:szCs w:val="24"/>
        </w:rPr>
      </w:pPr>
      <w:r>
        <w:rPr>
          <w:szCs w:val="24"/>
        </w:rPr>
        <w:br w:type="page"/>
      </w:r>
    </w:p>
    <w:p w14:paraId="472B371A" w14:textId="77777777" w:rsidR="00B270F3" w:rsidRPr="00354F55" w:rsidRDefault="00B270F3" w:rsidP="00354F55">
      <w:pPr>
        <w:spacing w:after="160" w:line="259" w:lineRule="auto"/>
        <w:contextualSpacing/>
        <w:rPr>
          <w:szCs w:val="24"/>
        </w:rPr>
      </w:pPr>
    </w:p>
    <w:p w14:paraId="313DAB15" w14:textId="77777777" w:rsidR="004E29A5" w:rsidRDefault="004E29A5" w:rsidP="0F78F8BE">
      <w:pPr>
        <w:spacing w:after="160" w:line="259" w:lineRule="auto"/>
        <w:contextualSpacing/>
        <w:rPr>
          <w:b/>
          <w:bCs/>
          <w:sz w:val="28"/>
          <w:szCs w:val="28"/>
        </w:rPr>
      </w:pPr>
      <w:r w:rsidRPr="0F78F8BE">
        <w:rPr>
          <w:b/>
          <w:bCs/>
          <w:sz w:val="28"/>
          <w:szCs w:val="28"/>
        </w:rPr>
        <w:t xml:space="preserve">Implications of the Recommendations </w:t>
      </w:r>
    </w:p>
    <w:p w14:paraId="25D90AC4" w14:textId="676C8121" w:rsidR="004E29A5" w:rsidRDefault="70CEFBCA" w:rsidP="0F78F8BE">
      <w:r>
        <w:t>The extension o</w:t>
      </w:r>
      <w:r w:rsidR="00EA310D">
        <w:t>f</w:t>
      </w:r>
      <w:r>
        <w:t xml:space="preserve"> the current agreement with Barnet will</w:t>
      </w:r>
      <w:r w:rsidR="006A5599">
        <w:t xml:space="preserve"> s</w:t>
      </w:r>
      <w:r>
        <w:t>upport HBPL’s sustainability and future plans which means that Harrow</w:t>
      </w:r>
      <w:r w:rsidR="006A5599">
        <w:t xml:space="preserve"> </w:t>
      </w:r>
      <w:r w:rsidR="00EA310D">
        <w:t xml:space="preserve">will continue to </w:t>
      </w:r>
      <w:r>
        <w:t xml:space="preserve">receive a robust legal service and </w:t>
      </w:r>
      <w:r w:rsidR="002A6F64">
        <w:t xml:space="preserve">the </w:t>
      </w:r>
      <w:r>
        <w:t xml:space="preserve">economies of scale that </w:t>
      </w:r>
      <w:r w:rsidR="002A6F64">
        <w:t xml:space="preserve">sharing services </w:t>
      </w:r>
      <w:r>
        <w:t xml:space="preserve">brings. </w:t>
      </w:r>
    </w:p>
    <w:p w14:paraId="1EFACF2B" w14:textId="77777777" w:rsidR="004E29A5" w:rsidRPr="004E29A5" w:rsidRDefault="004E29A5" w:rsidP="004E29A5"/>
    <w:p w14:paraId="5D089B1E" w14:textId="611E5EFE" w:rsidR="00333FAA" w:rsidRPr="003B75F0" w:rsidRDefault="00333FAA" w:rsidP="001472A8">
      <w:pPr>
        <w:pStyle w:val="Heading2"/>
        <w:spacing w:before="240"/>
        <w:rPr>
          <w:rFonts w:ascii="Arial" w:hAnsi="Arial"/>
          <w:sz w:val="28"/>
          <w:szCs w:val="28"/>
        </w:rPr>
      </w:pPr>
      <w:r w:rsidRPr="003B75F0">
        <w:rPr>
          <w:rFonts w:ascii="Arial" w:hAnsi="Arial"/>
          <w:sz w:val="28"/>
          <w:szCs w:val="28"/>
        </w:rPr>
        <w:t xml:space="preserve">Background </w:t>
      </w:r>
    </w:p>
    <w:p w14:paraId="6C06B553" w14:textId="60280991" w:rsidR="00994B10" w:rsidRDefault="00994B10" w:rsidP="00947D16">
      <w:pPr>
        <w:spacing w:after="160" w:line="259" w:lineRule="auto"/>
        <w:contextualSpacing/>
      </w:pPr>
      <w:r>
        <w:t>HBPL was formed in 2012 when Barnet agreed that Harrow would</w:t>
      </w:r>
      <w:r w:rsidR="00554BA0">
        <w:t xml:space="preserve"> </w:t>
      </w:r>
      <w:r>
        <w:t>discharge its legal function and transferred its lawyers under the TUPE</w:t>
      </w:r>
      <w:r w:rsidR="006A5599">
        <w:t xml:space="preserve"> </w:t>
      </w:r>
      <w:r>
        <w:t>regulations</w:t>
      </w:r>
      <w:r w:rsidR="00554BA0">
        <w:t>.</w:t>
      </w:r>
      <w:r>
        <w:t xml:space="preserve"> </w:t>
      </w:r>
    </w:p>
    <w:p w14:paraId="07C699DD" w14:textId="77777777" w:rsidR="00994B10" w:rsidRDefault="00994B10" w:rsidP="00947D16">
      <w:pPr>
        <w:spacing w:after="160" w:line="259" w:lineRule="auto"/>
        <w:contextualSpacing/>
      </w:pPr>
    </w:p>
    <w:p w14:paraId="6B0A782E" w14:textId="7BF5C808" w:rsidR="00C22029" w:rsidRDefault="526AAF80" w:rsidP="006A5599">
      <w:pPr>
        <w:spacing w:after="160" w:line="259" w:lineRule="auto"/>
        <w:contextualSpacing/>
      </w:pPr>
      <w:r>
        <w:t>With now nearly 1</w:t>
      </w:r>
      <w:r w:rsidR="00554BA0">
        <w:t>7</w:t>
      </w:r>
      <w:r>
        <w:t>0 lawyers, Harrow has g</w:t>
      </w:r>
      <w:r w:rsidR="0090015D">
        <w:t>r</w:t>
      </w:r>
      <w:r>
        <w:t>own HBPL into one of the</w:t>
      </w:r>
      <w:r w:rsidR="006A5599">
        <w:t xml:space="preserve"> </w:t>
      </w:r>
      <w:r>
        <w:t>largest local government legal practices in the country, with a reputation for innovation and quality.</w:t>
      </w:r>
      <w:r w:rsidR="008F1D1A">
        <w:t xml:space="preserve">  </w:t>
      </w:r>
      <w:r>
        <w:t>HBPL now provides legal services to the London</w:t>
      </w:r>
      <w:r w:rsidR="006A5599">
        <w:t xml:space="preserve"> </w:t>
      </w:r>
      <w:r>
        <w:t>Boroughs of Harrow, Barnet and Hounslow, the West London Waste</w:t>
      </w:r>
      <w:r w:rsidR="006A5599">
        <w:t xml:space="preserve"> </w:t>
      </w:r>
      <w:r>
        <w:t>Authority and Slough</w:t>
      </w:r>
      <w:r w:rsidR="00554BA0">
        <w:t xml:space="preserve"> Borough Council</w:t>
      </w:r>
      <w:r>
        <w:t>, as well as to over 100 schools and academies.</w:t>
      </w:r>
    </w:p>
    <w:p w14:paraId="163213E0" w14:textId="1A312FC0" w:rsidR="005326DB" w:rsidRDefault="005326DB" w:rsidP="00947D16">
      <w:pPr>
        <w:spacing w:after="160" w:line="259" w:lineRule="auto"/>
        <w:contextualSpacing/>
      </w:pPr>
    </w:p>
    <w:p w14:paraId="3206C8D8" w14:textId="5CC50AD0" w:rsidR="005326DB" w:rsidRPr="00947D16" w:rsidRDefault="00D85E18" w:rsidP="006A5599">
      <w:pPr>
        <w:spacing w:after="160" w:line="259" w:lineRule="auto"/>
        <w:contextualSpacing/>
      </w:pPr>
      <w:r>
        <w:t>T</w:t>
      </w:r>
      <w:r w:rsidR="005326DB">
        <w:t>he</w:t>
      </w:r>
      <w:r>
        <w:t xml:space="preserve"> </w:t>
      </w:r>
      <w:r w:rsidR="005326DB">
        <w:t xml:space="preserve">history of the </w:t>
      </w:r>
      <w:r w:rsidR="00BB6997">
        <w:t xml:space="preserve">Practice </w:t>
      </w:r>
      <w:r w:rsidR="005326DB">
        <w:t>is as follows:</w:t>
      </w:r>
    </w:p>
    <w:p w14:paraId="4953E388" w14:textId="255E707F" w:rsidR="005326DB" w:rsidRPr="00D81117" w:rsidRDefault="005326DB" w:rsidP="005326DB">
      <w:pPr>
        <w:pStyle w:val="ListParagraph"/>
        <w:numPr>
          <w:ilvl w:val="2"/>
          <w:numId w:val="10"/>
        </w:numPr>
        <w:spacing w:after="160" w:line="259" w:lineRule="auto"/>
        <w:ind w:left="1276" w:hanging="283"/>
        <w:contextualSpacing/>
      </w:pPr>
      <w:r>
        <w:t xml:space="preserve">2012 </w:t>
      </w:r>
      <w:r w:rsidR="003C5999">
        <w:t xml:space="preserve">Harrow &amp; </w:t>
      </w:r>
      <w:r>
        <w:t>Barnet</w:t>
      </w:r>
      <w:r w:rsidR="003C5999">
        <w:t xml:space="preserve"> </w:t>
      </w:r>
      <w:r>
        <w:t>create HB Public Law</w:t>
      </w:r>
    </w:p>
    <w:p w14:paraId="324CA2D0" w14:textId="5EB3B4FF" w:rsidR="005326DB" w:rsidRPr="00D81117" w:rsidRDefault="005326DB" w:rsidP="005326DB">
      <w:pPr>
        <w:pStyle w:val="ListParagraph"/>
        <w:numPr>
          <w:ilvl w:val="2"/>
          <w:numId w:val="10"/>
        </w:numPr>
        <w:spacing w:after="160" w:line="259" w:lineRule="auto"/>
        <w:ind w:left="1276" w:hanging="283"/>
        <w:contextualSpacing/>
      </w:pPr>
      <w:r>
        <w:t xml:space="preserve">2012 </w:t>
      </w:r>
      <w:r w:rsidR="004625B7">
        <w:t>S</w:t>
      </w:r>
      <w:r>
        <w:t xml:space="preserve">ecure </w:t>
      </w:r>
      <w:r w:rsidR="00D5632D">
        <w:t xml:space="preserve">Law Society </w:t>
      </w:r>
      <w:r w:rsidR="00295691">
        <w:t>‘</w:t>
      </w:r>
      <w:proofErr w:type="spellStart"/>
      <w:r>
        <w:t>Lexcel</w:t>
      </w:r>
      <w:proofErr w:type="spellEnd"/>
      <w:r w:rsidR="00295691">
        <w:t>’</w:t>
      </w:r>
      <w:r>
        <w:t xml:space="preserve"> accreditation </w:t>
      </w:r>
    </w:p>
    <w:p w14:paraId="410EC733" w14:textId="3A662437" w:rsidR="005326DB" w:rsidRDefault="005326DB" w:rsidP="005326DB">
      <w:pPr>
        <w:pStyle w:val="ListParagraph"/>
        <w:numPr>
          <w:ilvl w:val="2"/>
          <w:numId w:val="10"/>
        </w:numPr>
        <w:spacing w:after="160" w:line="259" w:lineRule="auto"/>
        <w:ind w:left="1276" w:hanging="283"/>
        <w:contextualSpacing/>
      </w:pPr>
      <w:r>
        <w:t>2015 Hounslow join</w:t>
      </w:r>
    </w:p>
    <w:p w14:paraId="7B8826B9" w14:textId="362053A6" w:rsidR="00FF35C0" w:rsidRPr="00D81117" w:rsidRDefault="00FF35C0" w:rsidP="005326DB">
      <w:pPr>
        <w:pStyle w:val="ListParagraph"/>
        <w:numPr>
          <w:ilvl w:val="2"/>
          <w:numId w:val="10"/>
        </w:numPr>
        <w:spacing w:after="160" w:line="259" w:lineRule="auto"/>
        <w:ind w:left="1276" w:hanging="283"/>
        <w:contextualSpacing/>
      </w:pPr>
      <w:r>
        <w:t xml:space="preserve">2016 Aylesbury Vale DC join </w:t>
      </w:r>
    </w:p>
    <w:p w14:paraId="6EFCCDDC" w14:textId="77777777" w:rsidR="005326DB" w:rsidRPr="00D81117" w:rsidRDefault="005326DB" w:rsidP="005326DB">
      <w:pPr>
        <w:pStyle w:val="ListParagraph"/>
        <w:numPr>
          <w:ilvl w:val="2"/>
          <w:numId w:val="10"/>
        </w:numPr>
        <w:spacing w:after="160" w:line="259" w:lineRule="auto"/>
        <w:ind w:left="1276" w:hanging="283"/>
        <w:contextualSpacing/>
      </w:pPr>
      <w:r>
        <w:t>2017 Bucks CC join (includes BCC running Harrow’s HR)</w:t>
      </w:r>
    </w:p>
    <w:p w14:paraId="7372650F" w14:textId="662B5C65" w:rsidR="005326DB" w:rsidRDefault="005326DB" w:rsidP="005326DB">
      <w:pPr>
        <w:pStyle w:val="ListParagraph"/>
        <w:numPr>
          <w:ilvl w:val="2"/>
          <w:numId w:val="10"/>
        </w:numPr>
        <w:spacing w:after="160" w:line="259" w:lineRule="auto"/>
        <w:ind w:left="1276" w:hanging="283"/>
        <w:contextualSpacing/>
      </w:pPr>
      <w:r>
        <w:t>2018 Slough joins</w:t>
      </w:r>
      <w:r w:rsidR="00A00662">
        <w:t xml:space="preserve"> with contract until 2023</w:t>
      </w:r>
    </w:p>
    <w:p w14:paraId="069BDF46" w14:textId="5CA0A459" w:rsidR="005326DB" w:rsidRPr="00D81117" w:rsidRDefault="005326DB" w:rsidP="005326DB">
      <w:pPr>
        <w:pStyle w:val="ListParagraph"/>
        <w:numPr>
          <w:ilvl w:val="2"/>
          <w:numId w:val="10"/>
        </w:numPr>
        <w:spacing w:after="160" w:line="259" w:lineRule="auto"/>
        <w:ind w:left="1276" w:hanging="283"/>
        <w:contextualSpacing/>
      </w:pPr>
      <w:r>
        <w:t xml:space="preserve">2019 Bucks </w:t>
      </w:r>
      <w:r w:rsidR="00FF35C0">
        <w:t xml:space="preserve">&amp; Aylesbury Vale </w:t>
      </w:r>
      <w:r>
        <w:t>leave</w:t>
      </w:r>
      <w:r w:rsidR="00FF35C0">
        <w:t xml:space="preserve"> as new unitary council formed </w:t>
      </w:r>
    </w:p>
    <w:p w14:paraId="24D1266C" w14:textId="2780F0AC" w:rsidR="005326DB" w:rsidRDefault="005326DB" w:rsidP="005326DB">
      <w:pPr>
        <w:pStyle w:val="ListParagraph"/>
        <w:numPr>
          <w:ilvl w:val="2"/>
          <w:numId w:val="10"/>
        </w:numPr>
        <w:spacing w:after="160" w:line="259" w:lineRule="auto"/>
        <w:ind w:left="1276" w:hanging="283"/>
        <w:contextualSpacing/>
      </w:pPr>
      <w:r>
        <w:t xml:space="preserve">2021 Hounslow </w:t>
      </w:r>
      <w:r w:rsidR="005363DD">
        <w:t xml:space="preserve">agree </w:t>
      </w:r>
      <w:r>
        <w:t>extension until 2026</w:t>
      </w:r>
    </w:p>
    <w:p w14:paraId="06BBB43C" w14:textId="3E814B79" w:rsidR="005326DB" w:rsidRDefault="005326DB" w:rsidP="005326DB">
      <w:pPr>
        <w:pStyle w:val="ListParagraph"/>
        <w:numPr>
          <w:ilvl w:val="2"/>
          <w:numId w:val="10"/>
        </w:numPr>
        <w:spacing w:after="160" w:line="259" w:lineRule="auto"/>
        <w:ind w:left="1276" w:hanging="283"/>
        <w:contextualSpacing/>
      </w:pPr>
      <w:r>
        <w:t>202</w:t>
      </w:r>
      <w:r w:rsidR="00A3661C">
        <w:t>1</w:t>
      </w:r>
      <w:r>
        <w:t xml:space="preserve"> Barnet resolve to extend the agreement until 2027</w:t>
      </w:r>
    </w:p>
    <w:p w14:paraId="69FE21B5" w14:textId="77777777" w:rsidR="005326DB" w:rsidRPr="00D81117" w:rsidRDefault="005326DB" w:rsidP="005326DB">
      <w:pPr>
        <w:pStyle w:val="ListParagraph"/>
        <w:ind w:left="1276"/>
        <w:rPr>
          <w:szCs w:val="24"/>
        </w:rPr>
      </w:pPr>
    </w:p>
    <w:p w14:paraId="6009DCDC" w14:textId="4D9E734C" w:rsidR="00A91DB7" w:rsidRDefault="00A91DB7" w:rsidP="006A5599">
      <w:pPr>
        <w:spacing w:after="160" w:line="259" w:lineRule="auto"/>
        <w:contextualSpacing/>
      </w:pPr>
      <w:r>
        <w:t>HBPL are currently covering the Monitoring Officer posts for Harrow, Barnet</w:t>
      </w:r>
      <w:r w:rsidR="00D03F76">
        <w:t xml:space="preserve">, </w:t>
      </w:r>
      <w:r>
        <w:t xml:space="preserve">Slough </w:t>
      </w:r>
      <w:r w:rsidR="00D03F76">
        <w:t xml:space="preserve">and the West London Waste Authority </w:t>
      </w:r>
      <w:r>
        <w:t>and have previously undertaken this role for Hounslow.  The practice also work</w:t>
      </w:r>
      <w:r w:rsidR="008935CC">
        <w:t>s</w:t>
      </w:r>
      <w:r>
        <w:t xml:space="preserve"> for Barnet Homes, Harrow, Barnet, Hounslow and Slough Schools and do</w:t>
      </w:r>
      <w:r w:rsidR="008935CC">
        <w:t>es</w:t>
      </w:r>
      <w:r>
        <w:t xml:space="preserve"> ad</w:t>
      </w:r>
      <w:r w:rsidR="00A72EA2">
        <w:t xml:space="preserve"> </w:t>
      </w:r>
      <w:r>
        <w:t>hoc work for other councils.</w:t>
      </w:r>
    </w:p>
    <w:p w14:paraId="52BA0037" w14:textId="12DDAB57" w:rsidR="00716FDD" w:rsidRDefault="00716FDD" w:rsidP="00A91DB7">
      <w:pPr>
        <w:spacing w:after="160" w:line="259" w:lineRule="auto"/>
        <w:ind w:left="720"/>
        <w:contextualSpacing/>
      </w:pPr>
    </w:p>
    <w:p w14:paraId="7C960939" w14:textId="77777777" w:rsidR="0022162D" w:rsidRPr="00FC35CA" w:rsidRDefault="0022162D" w:rsidP="0022162D">
      <w:pPr>
        <w:spacing w:after="160" w:line="259" w:lineRule="auto"/>
        <w:contextualSpacing/>
        <w:rPr>
          <w:b/>
          <w:bCs/>
          <w:sz w:val="28"/>
          <w:szCs w:val="28"/>
        </w:rPr>
      </w:pPr>
      <w:r w:rsidRPr="00FC35CA">
        <w:rPr>
          <w:b/>
          <w:bCs/>
          <w:sz w:val="28"/>
          <w:szCs w:val="28"/>
        </w:rPr>
        <w:t>Rationale for Sharing</w:t>
      </w:r>
    </w:p>
    <w:p w14:paraId="22ECBE61" w14:textId="77777777" w:rsidR="0022162D" w:rsidRPr="00947D16" w:rsidRDefault="0022162D" w:rsidP="0022162D">
      <w:pPr>
        <w:spacing w:after="160" w:line="259" w:lineRule="auto"/>
        <w:contextualSpacing/>
      </w:pPr>
      <w:r>
        <w:t>Creating a larger legal practice to support more than one authority has delivered the following benefits:</w:t>
      </w:r>
    </w:p>
    <w:p w14:paraId="6F504DA7" w14:textId="77777777" w:rsidR="0022162D" w:rsidRDefault="0022162D" w:rsidP="0022162D">
      <w:pPr>
        <w:pStyle w:val="ListParagraph"/>
        <w:numPr>
          <w:ilvl w:val="2"/>
          <w:numId w:val="10"/>
        </w:numPr>
        <w:spacing w:after="160" w:line="259" w:lineRule="auto"/>
        <w:ind w:left="1276" w:hanging="283"/>
        <w:contextualSpacing/>
      </w:pPr>
      <w:r>
        <w:t>A greater range and depth of legal expertise is available;</w:t>
      </w:r>
    </w:p>
    <w:p w14:paraId="76BFE545" w14:textId="77777777" w:rsidR="0022162D" w:rsidRDefault="0022162D" w:rsidP="0022162D">
      <w:pPr>
        <w:pStyle w:val="ListParagraph"/>
        <w:numPr>
          <w:ilvl w:val="2"/>
          <w:numId w:val="10"/>
        </w:numPr>
        <w:spacing w:after="160" w:line="259" w:lineRule="auto"/>
        <w:ind w:left="1276" w:hanging="283"/>
        <w:contextualSpacing/>
      </w:pPr>
      <w:r>
        <w:t>More flexibility in response to Council demands;</w:t>
      </w:r>
    </w:p>
    <w:p w14:paraId="3ACB6D98" w14:textId="77777777" w:rsidR="0022162D" w:rsidRDefault="0022162D" w:rsidP="0022162D">
      <w:pPr>
        <w:pStyle w:val="ListParagraph"/>
        <w:numPr>
          <w:ilvl w:val="2"/>
          <w:numId w:val="10"/>
        </w:numPr>
        <w:spacing w:after="160" w:line="259" w:lineRule="auto"/>
        <w:ind w:left="1276" w:hanging="283"/>
        <w:contextualSpacing/>
      </w:pPr>
      <w:r>
        <w:t>Reduced cost;</w:t>
      </w:r>
    </w:p>
    <w:p w14:paraId="29383EDB" w14:textId="77777777" w:rsidR="0022162D" w:rsidRDefault="0022162D" w:rsidP="0022162D">
      <w:pPr>
        <w:pStyle w:val="ListParagraph"/>
        <w:numPr>
          <w:ilvl w:val="2"/>
          <w:numId w:val="10"/>
        </w:numPr>
        <w:spacing w:after="160" w:line="259" w:lineRule="auto"/>
        <w:ind w:left="1276" w:hanging="283"/>
        <w:contextualSpacing/>
      </w:pPr>
      <w:r>
        <w:t>Improved career opportunities for staff;</w:t>
      </w:r>
    </w:p>
    <w:p w14:paraId="6DD01AD7" w14:textId="77777777" w:rsidR="0022162D" w:rsidRDefault="0022162D" w:rsidP="0022162D">
      <w:pPr>
        <w:pStyle w:val="ListParagraph"/>
        <w:numPr>
          <w:ilvl w:val="2"/>
          <w:numId w:val="10"/>
        </w:numPr>
        <w:spacing w:after="160" w:line="259" w:lineRule="auto"/>
        <w:ind w:left="1276" w:hanging="283"/>
        <w:contextualSpacing/>
      </w:pPr>
      <w:r>
        <w:t>Improved ability to recruit and retain the best staff;</w:t>
      </w:r>
    </w:p>
    <w:p w14:paraId="63A2AEA7" w14:textId="77777777" w:rsidR="0022162D" w:rsidRDefault="0022162D" w:rsidP="0022162D">
      <w:pPr>
        <w:pStyle w:val="ListParagraph"/>
        <w:numPr>
          <w:ilvl w:val="2"/>
          <w:numId w:val="10"/>
        </w:numPr>
        <w:spacing w:after="160" w:line="259" w:lineRule="auto"/>
        <w:ind w:left="1276" w:hanging="283"/>
        <w:contextualSpacing/>
      </w:pPr>
      <w:r>
        <w:t>Greater resilience.</w:t>
      </w:r>
    </w:p>
    <w:p w14:paraId="731322F1" w14:textId="77777777" w:rsidR="0022162D" w:rsidRDefault="0022162D" w:rsidP="0022162D">
      <w:pPr>
        <w:pStyle w:val="ListParagraph"/>
        <w:numPr>
          <w:ilvl w:val="2"/>
          <w:numId w:val="10"/>
        </w:numPr>
        <w:spacing w:after="160" w:line="259" w:lineRule="auto"/>
        <w:ind w:left="1276" w:hanging="283"/>
        <w:contextualSpacing/>
      </w:pPr>
      <w:r>
        <w:t>Reduced management costs</w:t>
      </w:r>
    </w:p>
    <w:p w14:paraId="4030756E" w14:textId="77777777" w:rsidR="0022162D" w:rsidRDefault="0022162D" w:rsidP="0022162D">
      <w:pPr>
        <w:pStyle w:val="ListParagraph"/>
        <w:numPr>
          <w:ilvl w:val="2"/>
          <w:numId w:val="10"/>
        </w:numPr>
        <w:spacing w:after="160" w:line="259" w:lineRule="auto"/>
        <w:ind w:left="1276" w:hanging="283"/>
        <w:contextualSpacing/>
      </w:pPr>
      <w:r>
        <w:t xml:space="preserve">Shared overheads – </w:t>
      </w:r>
      <w:proofErr w:type="spellStart"/>
      <w:r>
        <w:t>eg</w:t>
      </w:r>
      <w:proofErr w:type="spellEnd"/>
      <w:r>
        <w:t xml:space="preserve"> case management system, legal resources</w:t>
      </w:r>
    </w:p>
    <w:p w14:paraId="08F50815" w14:textId="77777777" w:rsidR="0043219C" w:rsidRDefault="0022162D" w:rsidP="0043219C">
      <w:pPr>
        <w:pStyle w:val="ListParagraph"/>
        <w:numPr>
          <w:ilvl w:val="2"/>
          <w:numId w:val="10"/>
        </w:numPr>
        <w:spacing w:line="259" w:lineRule="auto"/>
        <w:ind w:left="1276" w:hanging="283"/>
      </w:pPr>
      <w:r w:rsidRPr="00FD59AD">
        <w:t>Cost avoidance - less use of external lawyers</w:t>
      </w:r>
      <w:r>
        <w:t>, manage peaks &amp; troughs</w:t>
      </w:r>
    </w:p>
    <w:p w14:paraId="47C43DCC" w14:textId="27491761" w:rsidR="0022162D" w:rsidRDefault="0022162D" w:rsidP="0043219C">
      <w:pPr>
        <w:pStyle w:val="ListParagraph"/>
        <w:numPr>
          <w:ilvl w:val="2"/>
          <w:numId w:val="10"/>
        </w:numPr>
        <w:spacing w:line="259" w:lineRule="auto"/>
        <w:ind w:left="1276" w:hanging="283"/>
      </w:pPr>
      <w:r>
        <w:lastRenderedPageBreak/>
        <w:t>E</w:t>
      </w:r>
      <w:r w:rsidRPr="00FD59AD">
        <w:t>xplicit quality assurance culture</w:t>
      </w:r>
    </w:p>
    <w:p w14:paraId="3A12BBC1" w14:textId="77777777" w:rsidR="0043219C" w:rsidRPr="00FD59AD" w:rsidRDefault="0043219C" w:rsidP="0043219C">
      <w:pPr>
        <w:spacing w:line="259" w:lineRule="auto"/>
        <w:ind w:left="993"/>
      </w:pPr>
    </w:p>
    <w:p w14:paraId="5553DDAD" w14:textId="77777777" w:rsidR="00F86D9C" w:rsidRPr="00D92E3F" w:rsidRDefault="00F86D9C" w:rsidP="00F86D9C">
      <w:pPr>
        <w:spacing w:after="160" w:line="259" w:lineRule="auto"/>
        <w:contextualSpacing/>
        <w:rPr>
          <w:b/>
          <w:bCs/>
          <w:sz w:val="28"/>
          <w:szCs w:val="28"/>
        </w:rPr>
      </w:pPr>
      <w:r w:rsidRPr="00D92E3F">
        <w:rPr>
          <w:b/>
          <w:bCs/>
          <w:sz w:val="28"/>
          <w:szCs w:val="28"/>
        </w:rPr>
        <w:t>Extension</w:t>
      </w:r>
    </w:p>
    <w:p w14:paraId="0D6C0F64" w14:textId="77777777" w:rsidR="00F86D9C" w:rsidRPr="00947D16" w:rsidRDefault="00F86D9C" w:rsidP="00F86D9C">
      <w:pPr>
        <w:spacing w:after="160" w:line="259" w:lineRule="auto"/>
        <w:contextualSpacing/>
      </w:pPr>
      <w:r>
        <w:t>The heads of terms of this proposed extension include:</w:t>
      </w:r>
    </w:p>
    <w:p w14:paraId="05972521" w14:textId="77777777" w:rsidR="00F86D9C" w:rsidRDefault="00F86D9C" w:rsidP="00F86D9C">
      <w:pPr>
        <w:pStyle w:val="ListParagraph"/>
        <w:numPr>
          <w:ilvl w:val="2"/>
          <w:numId w:val="10"/>
        </w:numPr>
        <w:spacing w:after="160" w:line="259" w:lineRule="auto"/>
        <w:ind w:left="1276" w:hanging="283"/>
        <w:contextualSpacing/>
      </w:pPr>
      <w:r>
        <w:t>Barnet will continue to delegate its legal function to Harrow</w:t>
      </w:r>
    </w:p>
    <w:p w14:paraId="12782680" w14:textId="77777777" w:rsidR="00F86D9C" w:rsidRDefault="00F86D9C" w:rsidP="00F86D9C">
      <w:pPr>
        <w:pStyle w:val="ListParagraph"/>
        <w:numPr>
          <w:ilvl w:val="2"/>
          <w:numId w:val="10"/>
        </w:numPr>
        <w:spacing w:after="160" w:line="259" w:lineRule="auto"/>
        <w:ind w:left="1276" w:hanging="283"/>
        <w:contextualSpacing/>
      </w:pPr>
      <w:r>
        <w:t>Harrow will continue to employ the staff</w:t>
      </w:r>
    </w:p>
    <w:p w14:paraId="2669C93A" w14:textId="77777777" w:rsidR="00F86D9C" w:rsidRDefault="00F86D9C" w:rsidP="00F86D9C">
      <w:pPr>
        <w:pStyle w:val="ListParagraph"/>
        <w:numPr>
          <w:ilvl w:val="2"/>
          <w:numId w:val="10"/>
        </w:numPr>
        <w:spacing w:after="160" w:line="259" w:lineRule="auto"/>
        <w:ind w:left="1276" w:hanging="283"/>
        <w:contextualSpacing/>
      </w:pPr>
      <w:r>
        <w:t>Work is charged at an hourly rate and Barnet is invoiced monthly</w:t>
      </w:r>
    </w:p>
    <w:p w14:paraId="43598FE9" w14:textId="77777777" w:rsidR="00F86D9C" w:rsidRDefault="00F86D9C" w:rsidP="00F86D9C">
      <w:pPr>
        <w:pStyle w:val="ListParagraph"/>
        <w:numPr>
          <w:ilvl w:val="2"/>
          <w:numId w:val="10"/>
        </w:numPr>
        <w:spacing w:after="160" w:line="259" w:lineRule="auto"/>
        <w:ind w:left="1276" w:hanging="283"/>
        <w:contextualSpacing/>
      </w:pPr>
      <w:r>
        <w:t>Harrow provides management and monitoring information to Barnet</w:t>
      </w:r>
    </w:p>
    <w:p w14:paraId="5DF2AF51" w14:textId="77777777" w:rsidR="00F86D9C" w:rsidRDefault="00F86D9C" w:rsidP="00F86D9C">
      <w:pPr>
        <w:pStyle w:val="ListParagraph"/>
        <w:numPr>
          <w:ilvl w:val="2"/>
          <w:numId w:val="10"/>
        </w:numPr>
        <w:spacing w:after="160" w:line="259" w:lineRule="auto"/>
        <w:ind w:left="1276" w:hanging="283"/>
        <w:contextualSpacing/>
      </w:pPr>
      <w:r>
        <w:t>Barnet continues its redundancy indemnity should a reduction in demand by them lead to a need to make staff redundant</w:t>
      </w:r>
    </w:p>
    <w:p w14:paraId="423C8FD1" w14:textId="77777777" w:rsidR="00F86D9C" w:rsidRDefault="00F86D9C" w:rsidP="00F86D9C">
      <w:pPr>
        <w:pStyle w:val="ListParagraph"/>
        <w:numPr>
          <w:ilvl w:val="2"/>
          <w:numId w:val="10"/>
        </w:numPr>
        <w:spacing w:after="160" w:line="259" w:lineRule="auto"/>
        <w:ind w:left="1276" w:hanging="283"/>
        <w:contextualSpacing/>
      </w:pPr>
      <w:r>
        <w:t>Dispute resolution procedures which ultimately include the respective chief executives</w:t>
      </w:r>
    </w:p>
    <w:p w14:paraId="28661327" w14:textId="77777777" w:rsidR="00F86D9C" w:rsidRDefault="00F86D9C" w:rsidP="00F86D9C">
      <w:pPr>
        <w:pStyle w:val="ListParagraph"/>
        <w:numPr>
          <w:ilvl w:val="2"/>
          <w:numId w:val="10"/>
        </w:numPr>
        <w:spacing w:after="160" w:line="259" w:lineRule="auto"/>
        <w:ind w:left="1276" w:hanging="283"/>
        <w:contextualSpacing/>
      </w:pPr>
      <w:r>
        <w:t xml:space="preserve">Staff working on Barnet work are treated as Barnet staff and are covered by Barnet’s insurance policy </w:t>
      </w:r>
    </w:p>
    <w:p w14:paraId="6EF98AEB" w14:textId="77777777" w:rsidR="00F86D9C" w:rsidRDefault="00F86D9C" w:rsidP="00F86D9C">
      <w:pPr>
        <w:pStyle w:val="ListParagraph"/>
        <w:numPr>
          <w:ilvl w:val="2"/>
          <w:numId w:val="10"/>
        </w:numPr>
        <w:spacing w:after="160" w:line="259" w:lineRule="auto"/>
        <w:ind w:left="1276" w:hanging="283"/>
        <w:contextualSpacing/>
      </w:pPr>
      <w:r>
        <w:t>At any time, following 24 months of the Commencement Date either party may terminate the Agreement by giving the other not less than one year's written notice</w:t>
      </w:r>
    </w:p>
    <w:p w14:paraId="76534BB5" w14:textId="77777777" w:rsidR="00F86D9C" w:rsidRDefault="00F86D9C" w:rsidP="00F86D9C">
      <w:pPr>
        <w:pStyle w:val="ListParagraph"/>
        <w:numPr>
          <w:ilvl w:val="2"/>
          <w:numId w:val="10"/>
        </w:numPr>
        <w:spacing w:after="160" w:line="259" w:lineRule="auto"/>
        <w:ind w:left="1276" w:hanging="283"/>
        <w:contextualSpacing/>
      </w:pPr>
      <w:r>
        <w:t>Exit costs are shared</w:t>
      </w:r>
    </w:p>
    <w:p w14:paraId="748C6625" w14:textId="77777777" w:rsidR="00F86D9C" w:rsidRDefault="00F86D9C" w:rsidP="00F86D9C">
      <w:pPr>
        <w:pStyle w:val="ListParagraph"/>
        <w:numPr>
          <w:ilvl w:val="2"/>
          <w:numId w:val="10"/>
        </w:numPr>
        <w:spacing w:after="160" w:line="259" w:lineRule="auto"/>
        <w:ind w:left="1276" w:hanging="283"/>
        <w:contextualSpacing/>
      </w:pPr>
      <w:r>
        <w:t xml:space="preserve">Arrangement is not commercial </w:t>
      </w:r>
    </w:p>
    <w:p w14:paraId="4937A256" w14:textId="77777777" w:rsidR="00F86D9C" w:rsidRPr="005558E8" w:rsidRDefault="00F86D9C" w:rsidP="00F86D9C">
      <w:pPr>
        <w:pStyle w:val="ListParagraph"/>
        <w:numPr>
          <w:ilvl w:val="2"/>
          <w:numId w:val="10"/>
        </w:numPr>
        <w:spacing w:after="160" w:line="259" w:lineRule="auto"/>
        <w:ind w:hanging="283"/>
        <w:contextualSpacing/>
        <w:rPr>
          <w:szCs w:val="24"/>
        </w:rPr>
      </w:pPr>
      <w:r>
        <w:t xml:space="preserve">A mechanism for increasing the hourly rate </w:t>
      </w:r>
    </w:p>
    <w:p w14:paraId="5D02D556" w14:textId="61916024" w:rsidR="00716FDD" w:rsidRPr="00AD5B33" w:rsidRDefault="00716FDD" w:rsidP="004625B7">
      <w:pPr>
        <w:spacing w:after="160" w:line="259" w:lineRule="auto"/>
        <w:contextualSpacing/>
        <w:rPr>
          <w:b/>
          <w:bCs/>
          <w:sz w:val="28"/>
          <w:szCs w:val="28"/>
        </w:rPr>
      </w:pPr>
      <w:r w:rsidRPr="00AD5B33">
        <w:rPr>
          <w:b/>
          <w:bCs/>
          <w:sz w:val="28"/>
          <w:szCs w:val="28"/>
        </w:rPr>
        <w:t>Staffing</w:t>
      </w:r>
    </w:p>
    <w:p w14:paraId="6A7A1187" w14:textId="709988A3" w:rsidR="00F01892" w:rsidRDefault="00025089" w:rsidP="00F01892">
      <w:pPr>
        <w:rPr>
          <w:rFonts w:eastAsia="Arial" w:cs="Arial"/>
        </w:rPr>
      </w:pPr>
      <w:r>
        <w:rPr>
          <w:rFonts w:eastAsia="Arial" w:cs="Arial"/>
        </w:rPr>
        <w:t xml:space="preserve">The </w:t>
      </w:r>
      <w:r w:rsidR="00F01892" w:rsidRPr="29F7CF35">
        <w:rPr>
          <w:rFonts w:eastAsia="Arial" w:cs="Arial"/>
        </w:rPr>
        <w:t xml:space="preserve">benefits of a larger legal practice </w:t>
      </w:r>
      <w:r>
        <w:rPr>
          <w:rFonts w:eastAsia="Arial" w:cs="Arial"/>
        </w:rPr>
        <w:t xml:space="preserve">include </w:t>
      </w:r>
      <w:r w:rsidR="00F01892" w:rsidRPr="29F7CF35">
        <w:rPr>
          <w:rFonts w:eastAsia="Arial" w:cs="Arial"/>
        </w:rPr>
        <w:t>the opportunit</w:t>
      </w:r>
      <w:r w:rsidR="00F01892">
        <w:rPr>
          <w:rFonts w:eastAsia="Arial" w:cs="Arial"/>
        </w:rPr>
        <w:t>y</w:t>
      </w:r>
      <w:r w:rsidR="00F01892" w:rsidRPr="29F7CF35">
        <w:rPr>
          <w:rFonts w:eastAsia="Arial" w:cs="Arial"/>
        </w:rPr>
        <w:t xml:space="preserve"> </w:t>
      </w:r>
      <w:r w:rsidR="00F01892">
        <w:rPr>
          <w:rFonts w:eastAsia="Arial" w:cs="Arial"/>
        </w:rPr>
        <w:t xml:space="preserve">for </w:t>
      </w:r>
      <w:r w:rsidR="00F01892" w:rsidRPr="29F7CF35">
        <w:rPr>
          <w:rFonts w:eastAsia="Arial" w:cs="Arial"/>
        </w:rPr>
        <w:t>staff to progress their career without moving to another employer</w:t>
      </w:r>
      <w:r>
        <w:rPr>
          <w:rFonts w:eastAsia="Arial" w:cs="Arial"/>
        </w:rPr>
        <w:t xml:space="preserve">, and the </w:t>
      </w:r>
      <w:r w:rsidR="00F01892" w:rsidRPr="29F7CF35">
        <w:rPr>
          <w:rFonts w:eastAsia="Arial" w:cs="Arial"/>
        </w:rPr>
        <w:t xml:space="preserve">capacity to train legal staff and invest in succession planning.  Key achievements under </w:t>
      </w:r>
      <w:r w:rsidR="00DD04D8">
        <w:rPr>
          <w:rFonts w:eastAsia="Arial" w:cs="Arial"/>
        </w:rPr>
        <w:t xml:space="preserve">the practice’s </w:t>
      </w:r>
      <w:r w:rsidR="00F01892" w:rsidRPr="29F7CF35">
        <w:rPr>
          <w:rFonts w:eastAsia="Arial" w:cs="Arial"/>
        </w:rPr>
        <w:t xml:space="preserve">workforce strategy </w:t>
      </w:r>
      <w:r w:rsidR="00390430">
        <w:rPr>
          <w:rFonts w:eastAsia="Arial" w:cs="Arial"/>
        </w:rPr>
        <w:t>include</w:t>
      </w:r>
      <w:r w:rsidR="00F01892" w:rsidRPr="29F7CF35">
        <w:rPr>
          <w:rFonts w:eastAsia="Arial" w:cs="Arial"/>
        </w:rPr>
        <w:t>:</w:t>
      </w:r>
    </w:p>
    <w:p w14:paraId="67FF48B3" w14:textId="77777777" w:rsidR="00F01892" w:rsidRDefault="00F01892" w:rsidP="00F01892">
      <w:pPr>
        <w:ind w:left="360"/>
        <w:rPr>
          <w:rFonts w:eastAsia="Arial" w:cs="Arial"/>
        </w:rPr>
      </w:pPr>
    </w:p>
    <w:p w14:paraId="4794E101" w14:textId="7952E59F" w:rsidR="00F01892" w:rsidRDefault="00F01892" w:rsidP="00F01892">
      <w:pPr>
        <w:pStyle w:val="ListParagraph"/>
        <w:numPr>
          <w:ilvl w:val="0"/>
          <w:numId w:val="16"/>
        </w:numPr>
        <w:contextualSpacing/>
        <w:rPr>
          <w:rFonts w:eastAsia="Arial" w:cs="Arial"/>
        </w:rPr>
      </w:pPr>
      <w:r w:rsidRPr="29F7CF35">
        <w:rPr>
          <w:rFonts w:eastAsia="Arial" w:cs="Arial"/>
        </w:rPr>
        <w:t xml:space="preserve">Career grading at legal assistant/paralegal and lawyer/senior lawyer level.  This allows staff to progress their careers without waiting for vacancies or moving into management roles  </w:t>
      </w:r>
    </w:p>
    <w:p w14:paraId="3588C55F" w14:textId="4CD743DA" w:rsidR="00F01892" w:rsidRDefault="00F01892" w:rsidP="00F01892">
      <w:pPr>
        <w:pStyle w:val="ListParagraph"/>
        <w:numPr>
          <w:ilvl w:val="0"/>
          <w:numId w:val="16"/>
        </w:numPr>
        <w:contextualSpacing/>
        <w:rPr>
          <w:rFonts w:eastAsia="Arial" w:cs="Arial"/>
        </w:rPr>
      </w:pPr>
      <w:r w:rsidRPr="29F7CF35">
        <w:rPr>
          <w:rFonts w:eastAsia="Arial" w:cs="Arial"/>
        </w:rPr>
        <w:t>In-house bespoke management training</w:t>
      </w:r>
    </w:p>
    <w:p w14:paraId="5777039C" w14:textId="77777777" w:rsidR="00390430" w:rsidRDefault="00F01892" w:rsidP="00F01892">
      <w:pPr>
        <w:pStyle w:val="ListParagraph"/>
        <w:numPr>
          <w:ilvl w:val="0"/>
          <w:numId w:val="16"/>
        </w:numPr>
        <w:contextualSpacing/>
        <w:rPr>
          <w:rFonts w:eastAsia="Arial" w:cs="Arial"/>
        </w:rPr>
      </w:pPr>
      <w:r w:rsidRPr="29F7CF35">
        <w:rPr>
          <w:rFonts w:eastAsia="Arial" w:cs="Arial"/>
        </w:rPr>
        <w:t>Apprenticeship programme – in legal</w:t>
      </w:r>
      <w:r>
        <w:rPr>
          <w:rFonts w:eastAsia="Arial" w:cs="Arial"/>
        </w:rPr>
        <w:t>,</w:t>
      </w:r>
      <w:r w:rsidRPr="29F7CF35">
        <w:rPr>
          <w:rFonts w:eastAsia="Arial" w:cs="Arial"/>
        </w:rPr>
        <w:t xml:space="preserve"> practice management and finance roles.  </w:t>
      </w:r>
    </w:p>
    <w:p w14:paraId="5B089777" w14:textId="766C5A52" w:rsidR="00F01892" w:rsidRDefault="00390430" w:rsidP="00F01892">
      <w:pPr>
        <w:pStyle w:val="ListParagraph"/>
        <w:numPr>
          <w:ilvl w:val="0"/>
          <w:numId w:val="16"/>
        </w:numPr>
        <w:contextualSpacing/>
        <w:rPr>
          <w:rFonts w:eastAsia="Arial" w:cs="Arial"/>
        </w:rPr>
      </w:pPr>
      <w:r>
        <w:rPr>
          <w:rFonts w:eastAsia="Arial" w:cs="Arial"/>
        </w:rPr>
        <w:t>S</w:t>
      </w:r>
      <w:r w:rsidR="00F01892">
        <w:rPr>
          <w:rFonts w:eastAsia="Arial" w:cs="Arial"/>
        </w:rPr>
        <w:t>upport</w:t>
      </w:r>
      <w:r>
        <w:rPr>
          <w:rFonts w:eastAsia="Arial" w:cs="Arial"/>
        </w:rPr>
        <w:t xml:space="preserve">ing </w:t>
      </w:r>
      <w:r w:rsidR="00F01892" w:rsidRPr="29F7CF35">
        <w:rPr>
          <w:rFonts w:eastAsia="Arial" w:cs="Arial"/>
        </w:rPr>
        <w:t>2 trainees under the Government’s kickstart programme.</w:t>
      </w:r>
    </w:p>
    <w:p w14:paraId="73A794C8" w14:textId="5A04AAF2" w:rsidR="00F01892" w:rsidRDefault="00F01892" w:rsidP="00F01892">
      <w:pPr>
        <w:pStyle w:val="ListParagraph"/>
        <w:numPr>
          <w:ilvl w:val="0"/>
          <w:numId w:val="16"/>
        </w:numPr>
        <w:contextualSpacing/>
        <w:rPr>
          <w:rFonts w:eastAsia="Arial" w:cs="Arial"/>
        </w:rPr>
      </w:pPr>
      <w:r w:rsidRPr="29F7CF35">
        <w:rPr>
          <w:rFonts w:eastAsia="Arial" w:cs="Arial"/>
        </w:rPr>
        <w:t xml:space="preserve">Train your own – staff have qualified as chartered legal executives and solicitors via </w:t>
      </w:r>
      <w:r w:rsidR="00DD04D8">
        <w:rPr>
          <w:rFonts w:eastAsia="Arial" w:cs="Arial"/>
        </w:rPr>
        <w:t xml:space="preserve">the </w:t>
      </w:r>
      <w:r w:rsidRPr="29F7CF35">
        <w:rPr>
          <w:rFonts w:eastAsia="Arial" w:cs="Arial"/>
        </w:rPr>
        <w:t>CILEX training and trainee solicitor programmes.</w:t>
      </w:r>
      <w:r w:rsidR="00DD04D8">
        <w:rPr>
          <w:rFonts w:eastAsia="Arial" w:cs="Arial"/>
        </w:rPr>
        <w:t xml:space="preserve">  The practice employs </w:t>
      </w:r>
      <w:r w:rsidRPr="29F7CF35">
        <w:rPr>
          <w:rFonts w:eastAsia="Arial" w:cs="Arial"/>
        </w:rPr>
        <w:t>up to 5 trainee solicitors per year and many have moved into lawyer roles</w:t>
      </w:r>
      <w:r>
        <w:rPr>
          <w:rFonts w:eastAsia="Arial" w:cs="Arial"/>
        </w:rPr>
        <w:t xml:space="preserve"> within HBPL</w:t>
      </w:r>
      <w:r w:rsidRPr="29F7CF35">
        <w:rPr>
          <w:rFonts w:eastAsia="Arial" w:cs="Arial"/>
        </w:rPr>
        <w:t xml:space="preserve"> upon qualification. </w:t>
      </w:r>
    </w:p>
    <w:p w14:paraId="7F03B3B7" w14:textId="001EE30E" w:rsidR="00F01892" w:rsidRDefault="00F01892" w:rsidP="00F01892">
      <w:pPr>
        <w:pStyle w:val="ListParagraph"/>
        <w:numPr>
          <w:ilvl w:val="0"/>
          <w:numId w:val="16"/>
        </w:numPr>
        <w:contextualSpacing/>
        <w:rPr>
          <w:rFonts w:eastAsia="Arial" w:cs="Arial"/>
        </w:rPr>
      </w:pPr>
      <w:r w:rsidRPr="29F7CF35">
        <w:rPr>
          <w:rFonts w:eastAsia="Arial" w:cs="Arial"/>
        </w:rPr>
        <w:t>Bespoke in-house training programme, including essentials of local government training</w:t>
      </w:r>
      <w:r>
        <w:rPr>
          <w:rFonts w:eastAsia="Arial" w:cs="Arial"/>
        </w:rPr>
        <w:t xml:space="preserve"> and tailored external training programme delivered by the London Borough</w:t>
      </w:r>
      <w:r w:rsidR="00DD04D8">
        <w:rPr>
          <w:rFonts w:eastAsia="Arial" w:cs="Arial"/>
        </w:rPr>
        <w:t>s</w:t>
      </w:r>
      <w:r>
        <w:rPr>
          <w:rFonts w:eastAsia="Arial" w:cs="Arial"/>
        </w:rPr>
        <w:t xml:space="preserve"> Legal Alliance.</w:t>
      </w:r>
    </w:p>
    <w:p w14:paraId="4C126572" w14:textId="77777777" w:rsidR="00F01892" w:rsidRDefault="00F01892" w:rsidP="00F01892">
      <w:pPr>
        <w:pStyle w:val="ListParagraph"/>
        <w:numPr>
          <w:ilvl w:val="0"/>
          <w:numId w:val="16"/>
        </w:numPr>
        <w:contextualSpacing/>
        <w:rPr>
          <w:rFonts w:eastAsia="Arial" w:cs="Arial"/>
        </w:rPr>
      </w:pPr>
      <w:r w:rsidRPr="29F7CF35">
        <w:rPr>
          <w:rFonts w:eastAsia="Arial" w:cs="Arial"/>
        </w:rPr>
        <w:t xml:space="preserve">Wellbeing programme. </w:t>
      </w:r>
    </w:p>
    <w:p w14:paraId="78CAAAE4" w14:textId="77777777" w:rsidR="00F01892" w:rsidRPr="001B6B48" w:rsidRDefault="00F01892" w:rsidP="00F01892">
      <w:pPr>
        <w:ind w:left="360"/>
        <w:rPr>
          <w:rFonts w:eastAsia="Arial" w:cs="Arial"/>
          <w:b/>
          <w:bCs/>
        </w:rPr>
      </w:pPr>
    </w:p>
    <w:p w14:paraId="12B2B7E2" w14:textId="0D187308" w:rsidR="00333FAA" w:rsidRDefault="00333FAA" w:rsidP="65613ECC">
      <w:pPr>
        <w:pStyle w:val="Heading4"/>
        <w:tabs>
          <w:tab w:val="left" w:pos="3600"/>
        </w:tabs>
        <w:rPr>
          <w:sz w:val="28"/>
          <w:szCs w:val="28"/>
        </w:rPr>
      </w:pPr>
      <w:r w:rsidRPr="65613ECC">
        <w:rPr>
          <w:sz w:val="28"/>
          <w:szCs w:val="28"/>
        </w:rPr>
        <w:t>Performance</w:t>
      </w:r>
    </w:p>
    <w:p w14:paraId="49CD89C2" w14:textId="682F5773" w:rsidR="003C70D8" w:rsidRDefault="003C70D8" w:rsidP="003C70D8">
      <w:pPr>
        <w:rPr>
          <w:rFonts w:eastAsia="Arial" w:cs="Arial"/>
        </w:rPr>
      </w:pPr>
      <w:r>
        <w:rPr>
          <w:rFonts w:eastAsia="Arial" w:cs="Arial"/>
        </w:rPr>
        <w:t xml:space="preserve">HBPL is </w:t>
      </w:r>
      <w:proofErr w:type="spellStart"/>
      <w:r w:rsidRPr="008D46BC">
        <w:rPr>
          <w:rFonts w:eastAsia="Arial" w:cs="Arial"/>
        </w:rPr>
        <w:t>Lexcel</w:t>
      </w:r>
      <w:proofErr w:type="spellEnd"/>
      <w:r w:rsidRPr="008D46BC">
        <w:rPr>
          <w:rFonts w:eastAsia="Arial" w:cs="Arial"/>
        </w:rPr>
        <w:t xml:space="preserve"> accredited, which is </w:t>
      </w:r>
      <w:r>
        <w:rPr>
          <w:rFonts w:eastAsia="Arial" w:cs="Arial"/>
        </w:rPr>
        <w:t xml:space="preserve">the Law Society </w:t>
      </w:r>
      <w:r w:rsidRPr="008D46BC">
        <w:rPr>
          <w:rFonts w:eastAsia="Arial" w:cs="Arial"/>
        </w:rPr>
        <w:t xml:space="preserve">quality assurance standard for legal practices. The last assessment was in January 2022. The key findings were: </w:t>
      </w:r>
    </w:p>
    <w:p w14:paraId="7B3AC345" w14:textId="77777777" w:rsidR="00B57E03" w:rsidRPr="00B57E03" w:rsidRDefault="00B57E03" w:rsidP="003C70D8">
      <w:pPr>
        <w:rPr>
          <w:rFonts w:eastAsia="Arial" w:cs="Arial"/>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B57E03" w:rsidRPr="00B57E03" w14:paraId="45B80AF7" w14:textId="77777777" w:rsidTr="00B57E03">
        <w:tc>
          <w:tcPr>
            <w:tcW w:w="8789" w:type="dxa"/>
          </w:tcPr>
          <w:p w14:paraId="057129C1" w14:textId="77777777" w:rsidR="003C70D8" w:rsidRPr="00B57E03" w:rsidRDefault="003C70D8" w:rsidP="007724D7">
            <w:pPr>
              <w:rPr>
                <w:rFonts w:eastAsia="Arial"/>
              </w:rPr>
            </w:pPr>
            <w:r w:rsidRPr="00B57E03">
              <w:rPr>
                <w:rFonts w:eastAsia="Arial"/>
              </w:rPr>
              <w:lastRenderedPageBreak/>
              <w:t xml:space="preserve">“Despite all the challenges of the pandemic, HB Public Law continues to maintain a robust commitment to all the policies and procedures of the </w:t>
            </w:r>
            <w:proofErr w:type="spellStart"/>
            <w:r w:rsidRPr="00B57E03">
              <w:rPr>
                <w:rFonts w:eastAsia="Arial"/>
              </w:rPr>
              <w:t>Lexcel</w:t>
            </w:r>
            <w:proofErr w:type="spellEnd"/>
            <w:r w:rsidRPr="00B57E03">
              <w:rPr>
                <w:rFonts w:eastAsia="Arial"/>
              </w:rPr>
              <w:t xml:space="preserve"> Standard. There has been a clear emphasis on ensuring the health and wellbeing of its staff, well beyond basis levels (see report for details) supported by excellent communication for staff working remotely and on-going supervision.</w:t>
            </w:r>
          </w:p>
          <w:p w14:paraId="615B9419" w14:textId="77777777" w:rsidR="003C70D8" w:rsidRPr="00B57E03" w:rsidRDefault="003C70D8" w:rsidP="007724D7">
            <w:pPr>
              <w:rPr>
                <w:rFonts w:eastAsia="Arial"/>
              </w:rPr>
            </w:pPr>
          </w:p>
          <w:p w14:paraId="114D6BC3" w14:textId="77777777" w:rsidR="003C70D8" w:rsidRPr="00B57E03" w:rsidRDefault="003C70D8" w:rsidP="007724D7">
            <w:pPr>
              <w:rPr>
                <w:rFonts w:eastAsia="Arial"/>
              </w:rPr>
            </w:pPr>
            <w:r w:rsidRPr="00B57E03">
              <w:rPr>
                <w:rFonts w:eastAsia="Arial"/>
              </w:rPr>
              <w:t xml:space="preserve">HBPL was able to have a fairly easy transition to working remotely, as it has worked digitally for a long time and has always supported flexible working. It has therefore been able to accommodate hybrid working where possible, as and when the situation allowed. </w:t>
            </w:r>
          </w:p>
          <w:p w14:paraId="622BC1CC" w14:textId="77777777" w:rsidR="003C70D8" w:rsidRPr="00B57E03" w:rsidRDefault="003C70D8" w:rsidP="007724D7">
            <w:pPr>
              <w:rPr>
                <w:rFonts w:eastAsia="Arial"/>
              </w:rPr>
            </w:pPr>
          </w:p>
          <w:p w14:paraId="43B6A486" w14:textId="77777777" w:rsidR="003C70D8" w:rsidRPr="00B57E03" w:rsidRDefault="003C70D8" w:rsidP="007724D7">
            <w:pPr>
              <w:rPr>
                <w:rFonts w:eastAsia="Arial"/>
              </w:rPr>
            </w:pPr>
            <w:r w:rsidRPr="00B57E03">
              <w:rPr>
                <w:rFonts w:eastAsia="Arial"/>
              </w:rPr>
              <w:t>It has also continued its wellbeing programme which is now remote and this has been very well received by staff who have been able to access a range of remote programmes. Everyone continues to be set clear targets which ensures both staff and managers are able to track their performance.”</w:t>
            </w:r>
          </w:p>
          <w:p w14:paraId="50D2745B" w14:textId="77777777" w:rsidR="003C70D8" w:rsidRPr="00B57E03" w:rsidRDefault="003C70D8" w:rsidP="007724D7">
            <w:pPr>
              <w:rPr>
                <w:rFonts w:eastAsia="Arial"/>
              </w:rPr>
            </w:pPr>
          </w:p>
          <w:p w14:paraId="5725BE99" w14:textId="77777777" w:rsidR="00B57E03" w:rsidRDefault="00B57E03" w:rsidP="007724D7">
            <w:pPr>
              <w:rPr>
                <w:rFonts w:eastAsia="Arial"/>
              </w:rPr>
            </w:pPr>
            <w:r>
              <w:rPr>
                <w:rFonts w:eastAsia="Arial"/>
              </w:rPr>
              <w:t>The report noted:</w:t>
            </w:r>
          </w:p>
          <w:p w14:paraId="34C6B26F" w14:textId="48CC0D44" w:rsidR="003C70D8" w:rsidRPr="00B57E03" w:rsidRDefault="00B57E03" w:rsidP="007724D7">
            <w:pPr>
              <w:rPr>
                <w:rFonts w:eastAsia="Arial"/>
              </w:rPr>
            </w:pPr>
            <w:r>
              <w:rPr>
                <w:rFonts w:eastAsia="Arial"/>
              </w:rPr>
              <w:t xml:space="preserve"> </w:t>
            </w:r>
            <w:r w:rsidR="003C70D8" w:rsidRPr="00B57E03">
              <w:rPr>
                <w:rFonts w:eastAsia="Arial"/>
              </w:rPr>
              <w:t xml:space="preserve"> </w:t>
            </w:r>
          </w:p>
        </w:tc>
      </w:tr>
    </w:tbl>
    <w:p w14:paraId="45A6D8D0" w14:textId="77777777" w:rsidR="00B57E03" w:rsidRDefault="00B57E03" w:rsidP="00B57E03">
      <w:pPr>
        <w:rPr>
          <w:rFonts w:eastAsia="Arial" w:cs="Arial"/>
        </w:rPr>
      </w:pPr>
      <w:r w:rsidRPr="007C3368">
        <w:rPr>
          <w:rFonts w:eastAsia="Arial" w:cs="Arial"/>
        </w:rPr>
        <w:t xml:space="preserve">• HBPL’s business plan for 2021 to 2026 is comprehensive covering values and vision, a detailed SWOT analysis and sections on marketing, finances and options for the future. There are clear aims, with KPIs with associated resources for each team. </w:t>
      </w:r>
    </w:p>
    <w:p w14:paraId="2CD8784F" w14:textId="77777777" w:rsidR="00B57E03" w:rsidRDefault="00B57E03" w:rsidP="00B57E03">
      <w:pPr>
        <w:rPr>
          <w:rFonts w:eastAsia="Arial" w:cs="Arial"/>
        </w:rPr>
      </w:pPr>
    </w:p>
    <w:p w14:paraId="078C32E3" w14:textId="77777777" w:rsidR="00B57E03" w:rsidRDefault="00B57E03" w:rsidP="00B57E03">
      <w:pPr>
        <w:rPr>
          <w:rFonts w:eastAsia="Arial" w:cs="Arial"/>
        </w:rPr>
      </w:pPr>
      <w:r w:rsidRPr="007C3368">
        <w:rPr>
          <w:rFonts w:eastAsia="Arial" w:cs="Arial"/>
        </w:rPr>
        <w:t xml:space="preserve">• The business continuity plan remains robust with detailed descriptions of testing and outcomes. </w:t>
      </w:r>
    </w:p>
    <w:p w14:paraId="2888ED2E" w14:textId="77777777" w:rsidR="00B57E03" w:rsidRDefault="00B57E03" w:rsidP="00B57E03">
      <w:pPr>
        <w:rPr>
          <w:rFonts w:eastAsia="Arial" w:cs="Arial"/>
        </w:rPr>
      </w:pPr>
    </w:p>
    <w:p w14:paraId="27FFD8D3" w14:textId="77777777" w:rsidR="00B57E03" w:rsidRDefault="00B57E03" w:rsidP="00B57E03">
      <w:pPr>
        <w:rPr>
          <w:rFonts w:eastAsia="Arial" w:cs="Arial"/>
        </w:rPr>
      </w:pPr>
      <w:r w:rsidRPr="007C3368">
        <w:rPr>
          <w:rFonts w:eastAsia="Arial" w:cs="Arial"/>
        </w:rPr>
        <w:t xml:space="preserve">• HBPL’s financial management remains robust and ensure it meets </w:t>
      </w:r>
      <w:proofErr w:type="spellStart"/>
      <w:r w:rsidRPr="007C3368">
        <w:rPr>
          <w:rFonts w:eastAsia="Arial" w:cs="Arial"/>
        </w:rPr>
        <w:t>Lexcel</w:t>
      </w:r>
      <w:proofErr w:type="spellEnd"/>
      <w:r w:rsidRPr="007C3368">
        <w:rPr>
          <w:rFonts w:eastAsia="Arial" w:cs="Arial"/>
        </w:rPr>
        <w:t xml:space="preserve"> criteria. </w:t>
      </w:r>
    </w:p>
    <w:p w14:paraId="1D2DEBB3" w14:textId="77777777" w:rsidR="00B57E03" w:rsidRDefault="00B57E03" w:rsidP="00B57E03">
      <w:pPr>
        <w:rPr>
          <w:rFonts w:eastAsia="Arial" w:cs="Arial"/>
        </w:rPr>
      </w:pPr>
    </w:p>
    <w:p w14:paraId="05B7EBBA" w14:textId="77777777" w:rsidR="00B57E03" w:rsidRDefault="00B57E03" w:rsidP="00B57E03">
      <w:pPr>
        <w:rPr>
          <w:rFonts w:eastAsia="Arial" w:cs="Arial"/>
        </w:rPr>
      </w:pPr>
      <w:r w:rsidRPr="007C3368">
        <w:rPr>
          <w:rFonts w:eastAsia="Arial" w:cs="Arial"/>
        </w:rPr>
        <w:t xml:space="preserve">• HBPL places a strong emphasis on data protection and maintained policies and procedures to support this, including a detailed register of information assets. </w:t>
      </w:r>
    </w:p>
    <w:p w14:paraId="7BDAECCC" w14:textId="77777777" w:rsidR="00B57E03" w:rsidRDefault="00B57E03" w:rsidP="00B57E03">
      <w:pPr>
        <w:rPr>
          <w:rFonts w:eastAsia="Arial" w:cs="Arial"/>
        </w:rPr>
      </w:pPr>
    </w:p>
    <w:p w14:paraId="18BB5116" w14:textId="77777777" w:rsidR="00B57E03" w:rsidRDefault="00B57E03" w:rsidP="00B57E03">
      <w:pPr>
        <w:rPr>
          <w:rFonts w:eastAsia="Arial" w:cs="Arial"/>
        </w:rPr>
      </w:pPr>
      <w:r w:rsidRPr="007C3368">
        <w:rPr>
          <w:rFonts w:eastAsia="Arial" w:cs="Arial"/>
        </w:rPr>
        <w:t xml:space="preserve">• Last year the practice moved to a new case management system and people are adapting to this and have ongoing training and support. </w:t>
      </w:r>
    </w:p>
    <w:p w14:paraId="65227FF3" w14:textId="77777777" w:rsidR="00B57E03" w:rsidRDefault="00B57E03" w:rsidP="00B57E03">
      <w:pPr>
        <w:rPr>
          <w:rFonts w:eastAsia="Arial" w:cs="Arial"/>
        </w:rPr>
      </w:pPr>
    </w:p>
    <w:p w14:paraId="779367A3" w14:textId="77777777" w:rsidR="00B57E03" w:rsidRDefault="00B57E03" w:rsidP="00B57E03">
      <w:pPr>
        <w:rPr>
          <w:rFonts w:eastAsia="Arial" w:cs="Arial"/>
        </w:rPr>
      </w:pPr>
      <w:r w:rsidRPr="007C3368">
        <w:rPr>
          <w:rFonts w:eastAsia="Arial" w:cs="Arial"/>
        </w:rPr>
        <w:t xml:space="preserve">• The register of information assets remains very detailed with a list of assets, format and location. </w:t>
      </w:r>
    </w:p>
    <w:p w14:paraId="6CFBDAAA" w14:textId="77777777" w:rsidR="00B57E03" w:rsidRDefault="00B57E03" w:rsidP="00B57E03">
      <w:pPr>
        <w:rPr>
          <w:rFonts w:eastAsia="Arial" w:cs="Arial"/>
        </w:rPr>
      </w:pPr>
    </w:p>
    <w:p w14:paraId="15008EBE" w14:textId="77777777" w:rsidR="00B57E03" w:rsidRDefault="00B57E03" w:rsidP="00B57E03">
      <w:pPr>
        <w:rPr>
          <w:rFonts w:eastAsia="Arial" w:cs="Arial"/>
        </w:rPr>
      </w:pPr>
      <w:r w:rsidRPr="007C3368">
        <w:rPr>
          <w:rFonts w:eastAsia="Arial" w:cs="Arial"/>
        </w:rPr>
        <w:t xml:space="preserve">• Induction of staff remains comprehensive with excellent examples of this occurring in teams and with the support of buddies. </w:t>
      </w:r>
    </w:p>
    <w:p w14:paraId="5170C08D" w14:textId="77777777" w:rsidR="00B57E03" w:rsidRDefault="00B57E03" w:rsidP="00B57E03">
      <w:pPr>
        <w:rPr>
          <w:rFonts w:eastAsia="Arial" w:cs="Arial"/>
        </w:rPr>
      </w:pPr>
    </w:p>
    <w:p w14:paraId="6D97BD88" w14:textId="77777777" w:rsidR="00B57E03" w:rsidRDefault="00B57E03" w:rsidP="00B57E03">
      <w:pPr>
        <w:rPr>
          <w:rFonts w:eastAsia="Arial" w:cs="Arial"/>
        </w:rPr>
      </w:pPr>
      <w:r w:rsidRPr="007C3368">
        <w:rPr>
          <w:rFonts w:eastAsia="Arial" w:cs="Arial"/>
        </w:rPr>
        <w:t xml:space="preserve">• Despite the challenges of remote working, staff felt well supported with regular communication and supervision. </w:t>
      </w:r>
    </w:p>
    <w:p w14:paraId="714F0237" w14:textId="77777777" w:rsidR="00B57E03" w:rsidRDefault="00B57E03" w:rsidP="00B57E03">
      <w:pPr>
        <w:rPr>
          <w:rFonts w:eastAsia="Arial" w:cs="Arial"/>
        </w:rPr>
      </w:pPr>
    </w:p>
    <w:p w14:paraId="7F14E2E6" w14:textId="77777777" w:rsidR="00B57E03" w:rsidRDefault="00B57E03" w:rsidP="00B57E03">
      <w:pPr>
        <w:rPr>
          <w:rFonts w:eastAsia="Arial" w:cs="Arial"/>
        </w:rPr>
      </w:pPr>
      <w:r w:rsidRPr="007C3368">
        <w:rPr>
          <w:rFonts w:eastAsia="Arial" w:cs="Arial"/>
        </w:rPr>
        <w:t xml:space="preserve">• The department is looking at the principles of flexible working and future working patterns going forward. </w:t>
      </w:r>
    </w:p>
    <w:p w14:paraId="5F51998C" w14:textId="77777777" w:rsidR="00B57E03" w:rsidRDefault="00B57E03" w:rsidP="00B57E03">
      <w:pPr>
        <w:rPr>
          <w:rFonts w:eastAsia="Arial" w:cs="Arial"/>
        </w:rPr>
      </w:pPr>
    </w:p>
    <w:p w14:paraId="587C83C6" w14:textId="77777777" w:rsidR="00B57E03" w:rsidRDefault="00B57E03" w:rsidP="00B57E03">
      <w:pPr>
        <w:rPr>
          <w:rFonts w:eastAsia="Arial" w:cs="Arial"/>
        </w:rPr>
      </w:pPr>
      <w:r w:rsidRPr="007C3368">
        <w:rPr>
          <w:rFonts w:eastAsia="Arial" w:cs="Arial"/>
        </w:rPr>
        <w:t xml:space="preserve">• The health and well-being programme has been a long feature of HBPL’s commitment to its staff and has continued remotely and is really welcomed by staff. </w:t>
      </w:r>
    </w:p>
    <w:p w14:paraId="3BD81CB2" w14:textId="77777777" w:rsidR="00B57E03" w:rsidRDefault="00B57E03" w:rsidP="00B57E03">
      <w:pPr>
        <w:rPr>
          <w:rFonts w:eastAsia="Arial" w:cs="Arial"/>
        </w:rPr>
      </w:pPr>
    </w:p>
    <w:p w14:paraId="6CD1A35D" w14:textId="77777777" w:rsidR="00B57E03" w:rsidRDefault="00B57E03" w:rsidP="00B57E03">
      <w:pPr>
        <w:rPr>
          <w:rFonts w:eastAsia="Arial" w:cs="Arial"/>
        </w:rPr>
      </w:pPr>
      <w:r w:rsidRPr="007C3368">
        <w:rPr>
          <w:rFonts w:eastAsia="Arial" w:cs="Arial"/>
        </w:rPr>
        <w:lastRenderedPageBreak/>
        <w:t xml:space="preserve">• On going learning and development remains very much in evidence and clearly encouraged, with a range of webinars and LBLA weekly newsletters of what is available. There were excellent examples of training being shared in teams. </w:t>
      </w:r>
    </w:p>
    <w:p w14:paraId="41752AA9" w14:textId="77777777" w:rsidR="00B57E03" w:rsidRDefault="00B57E03" w:rsidP="00B57E03">
      <w:pPr>
        <w:rPr>
          <w:rFonts w:eastAsia="Arial" w:cs="Arial"/>
        </w:rPr>
      </w:pPr>
    </w:p>
    <w:p w14:paraId="46F2633F" w14:textId="77777777" w:rsidR="00B57E03" w:rsidRDefault="00B57E03" w:rsidP="00B57E03">
      <w:pPr>
        <w:rPr>
          <w:rFonts w:eastAsia="Arial" w:cs="Arial"/>
        </w:rPr>
      </w:pPr>
      <w:r w:rsidRPr="007C3368">
        <w:rPr>
          <w:rFonts w:eastAsia="Arial" w:cs="Arial"/>
        </w:rPr>
        <w:t xml:space="preserve">• The file review process remains both regular and robust with a good overall analysis. </w:t>
      </w:r>
    </w:p>
    <w:p w14:paraId="5BD63729" w14:textId="77777777" w:rsidR="00B57E03" w:rsidRDefault="00B57E03" w:rsidP="00B57E03">
      <w:pPr>
        <w:rPr>
          <w:rFonts w:eastAsia="Arial" w:cs="Arial"/>
        </w:rPr>
      </w:pPr>
    </w:p>
    <w:p w14:paraId="440F007A" w14:textId="77777777" w:rsidR="00B57E03" w:rsidRDefault="00B57E03" w:rsidP="00B57E03">
      <w:pPr>
        <w:rPr>
          <w:rFonts w:eastAsia="Arial" w:cs="Arial"/>
        </w:rPr>
      </w:pPr>
      <w:r w:rsidRPr="007C3368">
        <w:rPr>
          <w:rFonts w:eastAsia="Arial" w:cs="Arial"/>
        </w:rPr>
        <w:t xml:space="preserve">• The annual review of risk remains detailed through quality meetings and is very comprehensive and reviews and records all key areas of risk. </w:t>
      </w:r>
    </w:p>
    <w:p w14:paraId="0E922755" w14:textId="77777777" w:rsidR="00B57E03" w:rsidRDefault="00B57E03" w:rsidP="00B57E03">
      <w:pPr>
        <w:rPr>
          <w:rFonts w:eastAsia="Arial" w:cs="Arial"/>
        </w:rPr>
      </w:pPr>
    </w:p>
    <w:p w14:paraId="17FBA7A5" w14:textId="77777777" w:rsidR="00B57E03" w:rsidRDefault="00B57E03" w:rsidP="00B57E03">
      <w:pPr>
        <w:rPr>
          <w:rFonts w:eastAsia="Arial" w:cs="Arial"/>
        </w:rPr>
      </w:pPr>
      <w:r w:rsidRPr="007C3368">
        <w:rPr>
          <w:rFonts w:eastAsia="Arial" w:cs="Arial"/>
        </w:rPr>
        <w:t xml:space="preserve">• The risk register also continues to be detailed and sets out risk levels, reported issues, status of individual risk areas and when they are closed out. </w:t>
      </w:r>
    </w:p>
    <w:p w14:paraId="2C5B2E86" w14:textId="77777777" w:rsidR="00B57E03" w:rsidRDefault="00B57E03" w:rsidP="00B57E03">
      <w:pPr>
        <w:rPr>
          <w:rFonts w:eastAsia="Arial" w:cs="Arial"/>
        </w:rPr>
      </w:pPr>
    </w:p>
    <w:p w14:paraId="41148C64" w14:textId="77777777" w:rsidR="00B57E03" w:rsidRDefault="00B57E03" w:rsidP="00B57E03">
      <w:pPr>
        <w:rPr>
          <w:rFonts w:eastAsia="Arial" w:cs="Arial"/>
        </w:rPr>
      </w:pPr>
      <w:r w:rsidRPr="007C3368">
        <w:rPr>
          <w:rFonts w:eastAsia="Arial" w:cs="Arial"/>
        </w:rPr>
        <w:t xml:space="preserve">• Communications remains good within monthly team meetings, in person if possible or through teams. There is regular 1-1 monthly supervision and the addition of WhatsApp groups. </w:t>
      </w:r>
    </w:p>
    <w:p w14:paraId="4C5ABDA1" w14:textId="77777777" w:rsidR="00B57E03" w:rsidRDefault="00B57E03" w:rsidP="00B57E03">
      <w:pPr>
        <w:rPr>
          <w:rFonts w:eastAsia="Arial" w:cs="Arial"/>
        </w:rPr>
      </w:pPr>
    </w:p>
    <w:p w14:paraId="5029B981" w14:textId="77777777" w:rsidR="00B57E03" w:rsidRDefault="00B57E03" w:rsidP="00B57E03">
      <w:pPr>
        <w:rPr>
          <w:rFonts w:eastAsia="Arial" w:cs="Arial"/>
        </w:rPr>
      </w:pPr>
      <w:r w:rsidRPr="007C3368">
        <w:rPr>
          <w:rFonts w:eastAsia="Arial" w:cs="Arial"/>
        </w:rPr>
        <w:t xml:space="preserve">• Legal practice meetings take place through MS Teams and legal practice updates continue. </w:t>
      </w:r>
    </w:p>
    <w:p w14:paraId="6BBE78E8" w14:textId="77777777" w:rsidR="00B57E03" w:rsidRDefault="00B57E03" w:rsidP="00B57E03">
      <w:pPr>
        <w:rPr>
          <w:rFonts w:eastAsia="Arial" w:cs="Arial"/>
        </w:rPr>
      </w:pPr>
    </w:p>
    <w:p w14:paraId="05313D78" w14:textId="77777777" w:rsidR="00B57E03" w:rsidRDefault="00B57E03" w:rsidP="00B57E03">
      <w:pPr>
        <w:rPr>
          <w:rFonts w:eastAsia="Arial" w:cs="Arial"/>
        </w:rPr>
      </w:pPr>
      <w:r w:rsidRPr="007C3368">
        <w:rPr>
          <w:rFonts w:eastAsia="Arial" w:cs="Arial"/>
        </w:rPr>
        <w:t xml:space="preserve">• Quality questionnaires continue to be sent to clients at the end of a matter and compliments/comments are logged. Clients continue to be very complimentary about the work of HBPL and there is a robust analysis summary to demonstrate this. </w:t>
      </w:r>
    </w:p>
    <w:p w14:paraId="4D0FC856" w14:textId="77777777" w:rsidR="00B57E03" w:rsidRDefault="00B57E03" w:rsidP="00B57E03">
      <w:pPr>
        <w:rPr>
          <w:rFonts w:eastAsia="Arial" w:cs="Arial"/>
        </w:rPr>
      </w:pPr>
    </w:p>
    <w:p w14:paraId="7185575E" w14:textId="77777777" w:rsidR="00B57E03" w:rsidRDefault="00B57E03" w:rsidP="00B57E03">
      <w:pPr>
        <w:rPr>
          <w:rFonts w:eastAsia="Arial" w:cs="Arial"/>
        </w:rPr>
      </w:pPr>
      <w:r w:rsidRPr="007C3368">
        <w:rPr>
          <w:rFonts w:eastAsia="Arial" w:cs="Arial"/>
        </w:rPr>
        <w:t>• File management continues to be robust and there is a new case management system to support this.</w:t>
      </w:r>
    </w:p>
    <w:p w14:paraId="23759FF8" w14:textId="77777777" w:rsidR="00B57E03" w:rsidRDefault="00B57E03" w:rsidP="00B57E03">
      <w:pPr>
        <w:rPr>
          <w:rFonts w:eastAsia="Arial" w:cs="Arial"/>
        </w:rPr>
      </w:pPr>
    </w:p>
    <w:p w14:paraId="7286B971" w14:textId="77777777" w:rsidR="00B57E03" w:rsidRDefault="00B57E03" w:rsidP="00B57E03">
      <w:pPr>
        <w:rPr>
          <w:rFonts w:eastAsia="Arial" w:cs="Arial"/>
        </w:rPr>
      </w:pPr>
      <w:r w:rsidRPr="00352771">
        <w:rPr>
          <w:rFonts w:eastAsia="Arial" w:cs="Arial"/>
        </w:rPr>
        <w:t xml:space="preserve">Suggestions for best practice are as follows: </w:t>
      </w:r>
    </w:p>
    <w:p w14:paraId="358527C7" w14:textId="77777777" w:rsidR="00B57E03" w:rsidRDefault="00B57E03" w:rsidP="00B57E03">
      <w:pPr>
        <w:rPr>
          <w:rFonts w:eastAsia="Arial" w:cs="Arial"/>
        </w:rPr>
      </w:pPr>
    </w:p>
    <w:p w14:paraId="5053BD5B" w14:textId="77777777" w:rsidR="00B57E03" w:rsidRDefault="00B57E03" w:rsidP="00B57E03">
      <w:pPr>
        <w:rPr>
          <w:rFonts w:eastAsia="Arial" w:cs="Arial"/>
        </w:rPr>
      </w:pPr>
      <w:r w:rsidRPr="00352771">
        <w:rPr>
          <w:rFonts w:eastAsia="Arial" w:cs="Arial"/>
        </w:rPr>
        <w:t xml:space="preserve">• HBPL should consider a matrix approach in its business plan as to what resources are required and potential risks linked to stated objectives. </w:t>
      </w:r>
    </w:p>
    <w:p w14:paraId="37943183" w14:textId="77777777" w:rsidR="00B57E03" w:rsidRDefault="00B57E03" w:rsidP="00B57E03">
      <w:pPr>
        <w:rPr>
          <w:rFonts w:eastAsia="Arial" w:cs="Arial"/>
        </w:rPr>
      </w:pPr>
    </w:p>
    <w:p w14:paraId="4B3C462E" w14:textId="77777777" w:rsidR="00B57E03" w:rsidRDefault="00B57E03" w:rsidP="00B57E03">
      <w:pPr>
        <w:rPr>
          <w:rFonts w:eastAsia="Arial" w:cs="Arial"/>
        </w:rPr>
      </w:pPr>
      <w:r w:rsidRPr="00352771">
        <w:rPr>
          <w:rFonts w:eastAsia="Arial" w:cs="Arial"/>
        </w:rPr>
        <w:t xml:space="preserve">• HBPL should consider developing a “formal” remote working policy focusing on areas such as data protection, health and safety and supervision. </w:t>
      </w:r>
    </w:p>
    <w:p w14:paraId="625D3983" w14:textId="77777777" w:rsidR="00B57E03" w:rsidRDefault="00B57E03" w:rsidP="00B57E03">
      <w:pPr>
        <w:rPr>
          <w:rFonts w:eastAsia="Arial" w:cs="Arial"/>
        </w:rPr>
      </w:pPr>
    </w:p>
    <w:p w14:paraId="2D743886" w14:textId="77777777" w:rsidR="00B57E03" w:rsidRDefault="00B57E03" w:rsidP="00B57E03">
      <w:pPr>
        <w:rPr>
          <w:rFonts w:eastAsia="Arial" w:cs="Arial"/>
        </w:rPr>
      </w:pPr>
      <w:r w:rsidRPr="00352771">
        <w:rPr>
          <w:rFonts w:eastAsia="Arial" w:cs="Arial"/>
        </w:rPr>
        <w:t xml:space="preserve">• Continue to ensure that new staff and trainees/paralegals feel they can contact their manager if they need to do so. It is also important that line managers encourage them to do so. </w:t>
      </w:r>
    </w:p>
    <w:p w14:paraId="5EA92FAA" w14:textId="77777777" w:rsidR="00B57E03" w:rsidRDefault="00B57E03" w:rsidP="00B57E03">
      <w:pPr>
        <w:rPr>
          <w:rFonts w:eastAsia="Arial" w:cs="Arial"/>
        </w:rPr>
      </w:pPr>
    </w:p>
    <w:p w14:paraId="1B96756F" w14:textId="77777777" w:rsidR="00B57E03" w:rsidRDefault="00B57E03" w:rsidP="00B57E03">
      <w:pPr>
        <w:rPr>
          <w:rFonts w:eastAsia="Arial" w:cs="Arial"/>
        </w:rPr>
      </w:pPr>
      <w:r w:rsidRPr="00352771">
        <w:rPr>
          <w:rFonts w:eastAsia="Arial" w:cs="Arial"/>
        </w:rPr>
        <w:t xml:space="preserve">• Given the majority of staff are working remotely, ensure supervisors continue to monitor staff workloads. </w:t>
      </w:r>
    </w:p>
    <w:p w14:paraId="725E999E" w14:textId="5CB1BD69" w:rsidR="000929A6" w:rsidRDefault="000929A6" w:rsidP="001472A8">
      <w:pPr>
        <w:rPr>
          <w:iCs/>
        </w:rPr>
      </w:pPr>
    </w:p>
    <w:p w14:paraId="31409836" w14:textId="1136193E" w:rsidR="002A3FEF" w:rsidRDefault="002A3FEF" w:rsidP="002A3FEF">
      <w:pPr>
        <w:pStyle w:val="Heading4"/>
        <w:rPr>
          <w:sz w:val="28"/>
          <w:szCs w:val="28"/>
        </w:rPr>
      </w:pPr>
      <w:r w:rsidRPr="00EF5837">
        <w:rPr>
          <w:sz w:val="28"/>
          <w:szCs w:val="28"/>
        </w:rPr>
        <w:t>Dat</w:t>
      </w:r>
      <w:r w:rsidR="00DE72CF" w:rsidRPr="00EF5837">
        <w:rPr>
          <w:sz w:val="28"/>
          <w:szCs w:val="28"/>
        </w:rPr>
        <w:t>a</w:t>
      </w:r>
      <w:r w:rsidRPr="00EF5837">
        <w:rPr>
          <w:sz w:val="28"/>
          <w:szCs w:val="28"/>
        </w:rPr>
        <w:t xml:space="preserve"> Protection Implications</w:t>
      </w:r>
    </w:p>
    <w:p w14:paraId="63731DC9" w14:textId="77777777" w:rsidR="00D92E3F" w:rsidRPr="00D92E3F" w:rsidRDefault="00D92E3F" w:rsidP="00D92E3F"/>
    <w:p w14:paraId="5BD1F5A2" w14:textId="4DF60C65" w:rsidR="00D10CD6" w:rsidRPr="00DC4014" w:rsidRDefault="2BA0AC5F" w:rsidP="002A3FEF">
      <w:r>
        <w:t xml:space="preserve">The Inter Authority agreement </w:t>
      </w:r>
      <w:r w:rsidR="257996F7">
        <w:t>covers a</w:t>
      </w:r>
      <w:r w:rsidR="001C0D57">
        <w:t xml:space="preserve">ll </w:t>
      </w:r>
      <w:r w:rsidR="257996F7">
        <w:t xml:space="preserve">data protection issues and Harrow retain Barnet data on a secure </w:t>
      </w:r>
      <w:r w:rsidR="36240969">
        <w:t>case management system.</w:t>
      </w:r>
    </w:p>
    <w:p w14:paraId="03FCF574" w14:textId="77777777" w:rsidR="00EF5837" w:rsidRDefault="00EF5837" w:rsidP="00105B8A">
      <w:bookmarkStart w:id="0" w:name="_Hlk60923477"/>
      <w:bookmarkStart w:id="1" w:name="_Hlk60922991"/>
      <w:bookmarkStart w:id="2" w:name="_Hlk60923939"/>
    </w:p>
    <w:p w14:paraId="3E69829A" w14:textId="3231B7CD" w:rsidR="00EF5837" w:rsidRPr="00563043" w:rsidRDefault="00EF5837" w:rsidP="00105B8A">
      <w:pPr>
        <w:rPr>
          <w:b/>
          <w:bCs/>
          <w:sz w:val="28"/>
          <w:szCs w:val="28"/>
        </w:rPr>
      </w:pPr>
      <w:r w:rsidRPr="00563043">
        <w:rPr>
          <w:b/>
          <w:bCs/>
          <w:sz w:val="28"/>
          <w:szCs w:val="28"/>
        </w:rPr>
        <w:t xml:space="preserve">Risk Management </w:t>
      </w:r>
      <w:r w:rsidR="008E046B" w:rsidRPr="00563043">
        <w:rPr>
          <w:b/>
          <w:bCs/>
          <w:sz w:val="28"/>
          <w:szCs w:val="28"/>
        </w:rPr>
        <w:t>Implications</w:t>
      </w:r>
    </w:p>
    <w:p w14:paraId="4B9307C4" w14:textId="205C87F5" w:rsidR="008E046B" w:rsidRPr="00563043" w:rsidRDefault="008E046B" w:rsidP="00105B8A">
      <w:pPr>
        <w:rPr>
          <w:b/>
          <w:bCs/>
          <w:sz w:val="28"/>
          <w:szCs w:val="28"/>
        </w:rPr>
      </w:pPr>
    </w:p>
    <w:p w14:paraId="3DC84CDC" w14:textId="0B5973C1" w:rsidR="008E046B" w:rsidRPr="0090015D" w:rsidRDefault="008E046B" w:rsidP="008E046B">
      <w:pPr>
        <w:rPr>
          <w:szCs w:val="24"/>
        </w:rPr>
      </w:pPr>
      <w:r w:rsidRPr="0090015D">
        <w:rPr>
          <w:szCs w:val="24"/>
        </w:rPr>
        <w:t xml:space="preserve">Risks included on corporate or directorate risk </w:t>
      </w:r>
      <w:r w:rsidR="0054163F" w:rsidRPr="0090015D">
        <w:rPr>
          <w:szCs w:val="24"/>
        </w:rPr>
        <w:t>register</w:t>
      </w:r>
      <w:r w:rsidR="0090015D">
        <w:rPr>
          <w:szCs w:val="24"/>
        </w:rPr>
        <w:t>?</w:t>
      </w:r>
      <w:r w:rsidR="001B5640" w:rsidRPr="0090015D">
        <w:rPr>
          <w:szCs w:val="24"/>
        </w:rPr>
        <w:t xml:space="preserve"> </w:t>
      </w:r>
      <w:r w:rsidRPr="000254D6">
        <w:rPr>
          <w:szCs w:val="24"/>
        </w:rPr>
        <w:t>No</w:t>
      </w:r>
      <w:r w:rsidRPr="0090015D">
        <w:rPr>
          <w:szCs w:val="24"/>
        </w:rPr>
        <w:t xml:space="preserve"> </w:t>
      </w:r>
    </w:p>
    <w:p w14:paraId="5D09B0F6" w14:textId="684F2AF5" w:rsidR="008E046B" w:rsidRPr="0090015D" w:rsidRDefault="008E046B" w:rsidP="008E046B">
      <w:pPr>
        <w:rPr>
          <w:szCs w:val="24"/>
        </w:rPr>
      </w:pPr>
      <w:r w:rsidRPr="0090015D">
        <w:rPr>
          <w:szCs w:val="24"/>
        </w:rPr>
        <w:lastRenderedPageBreak/>
        <w:t xml:space="preserve">Separate risk register in place? </w:t>
      </w:r>
      <w:r w:rsidRPr="000254D6">
        <w:rPr>
          <w:szCs w:val="24"/>
        </w:rPr>
        <w:t>No</w:t>
      </w:r>
      <w:r w:rsidRPr="0090015D">
        <w:rPr>
          <w:szCs w:val="24"/>
        </w:rPr>
        <w:t xml:space="preserve"> </w:t>
      </w:r>
    </w:p>
    <w:p w14:paraId="66129E77" w14:textId="77777777" w:rsidR="008E046B" w:rsidRPr="0090015D" w:rsidRDefault="008E046B" w:rsidP="008E046B">
      <w:pPr>
        <w:rPr>
          <w:szCs w:val="24"/>
        </w:rPr>
      </w:pPr>
    </w:p>
    <w:p w14:paraId="1B209844" w14:textId="492EF169" w:rsidR="008E046B" w:rsidRPr="0090015D" w:rsidRDefault="008E046B" w:rsidP="008E046B">
      <w:pPr>
        <w:rPr>
          <w:szCs w:val="24"/>
        </w:rPr>
      </w:pPr>
      <w:r w:rsidRPr="0090015D">
        <w:rPr>
          <w:szCs w:val="24"/>
        </w:rPr>
        <w:t>The following key risks should be taken into account when agreeing the recommendations in this report:</w:t>
      </w:r>
    </w:p>
    <w:p w14:paraId="28F02FDF" w14:textId="216958FA" w:rsidR="008E046B" w:rsidRPr="0090015D" w:rsidRDefault="008E046B" w:rsidP="008E046B">
      <w:pPr>
        <w:rPr>
          <w:szCs w:val="24"/>
        </w:rPr>
      </w:pPr>
    </w:p>
    <w:tbl>
      <w:tblPr>
        <w:tblStyle w:val="TableGrid"/>
        <w:tblW w:w="9493" w:type="dxa"/>
        <w:tblLook w:val="04A0" w:firstRow="1" w:lastRow="0" w:firstColumn="1" w:lastColumn="0" w:noHBand="0" w:noVBand="1"/>
      </w:tblPr>
      <w:tblGrid>
        <w:gridCol w:w="3397"/>
        <w:gridCol w:w="4395"/>
        <w:gridCol w:w="1701"/>
      </w:tblGrid>
      <w:tr w:rsidR="00563043" w:rsidRPr="00563043" w14:paraId="63756739" w14:textId="77777777" w:rsidTr="0090015D">
        <w:tc>
          <w:tcPr>
            <w:tcW w:w="3397" w:type="dxa"/>
          </w:tcPr>
          <w:p w14:paraId="1B554943" w14:textId="34023465" w:rsidR="008E046B" w:rsidRPr="00563043" w:rsidRDefault="008E046B" w:rsidP="008E046B">
            <w:pPr>
              <w:rPr>
                <w:b/>
                <w:bCs/>
                <w:sz w:val="28"/>
                <w:szCs w:val="28"/>
              </w:rPr>
            </w:pPr>
            <w:r w:rsidRPr="00563043">
              <w:rPr>
                <w:b/>
                <w:bCs/>
                <w:sz w:val="28"/>
                <w:szCs w:val="28"/>
              </w:rPr>
              <w:t>Risk Description</w:t>
            </w:r>
          </w:p>
        </w:tc>
        <w:tc>
          <w:tcPr>
            <w:tcW w:w="4395" w:type="dxa"/>
          </w:tcPr>
          <w:p w14:paraId="31E848D0" w14:textId="5EFD85A0" w:rsidR="008E046B" w:rsidRPr="00563043" w:rsidRDefault="008E046B" w:rsidP="008E046B">
            <w:pPr>
              <w:rPr>
                <w:b/>
                <w:bCs/>
                <w:sz w:val="28"/>
                <w:szCs w:val="28"/>
              </w:rPr>
            </w:pPr>
            <w:r w:rsidRPr="00563043">
              <w:rPr>
                <w:b/>
                <w:bCs/>
                <w:sz w:val="28"/>
                <w:szCs w:val="28"/>
              </w:rPr>
              <w:t>Mitigations</w:t>
            </w:r>
          </w:p>
        </w:tc>
        <w:tc>
          <w:tcPr>
            <w:tcW w:w="1701" w:type="dxa"/>
            <w:tcBorders>
              <w:bottom w:val="single" w:sz="4" w:space="0" w:color="auto"/>
            </w:tcBorders>
          </w:tcPr>
          <w:p w14:paraId="314B3D0A" w14:textId="77777777" w:rsidR="00942A8A" w:rsidRDefault="008E046B" w:rsidP="008E046B">
            <w:pPr>
              <w:rPr>
                <w:b/>
                <w:bCs/>
                <w:sz w:val="28"/>
                <w:szCs w:val="28"/>
              </w:rPr>
            </w:pPr>
            <w:r w:rsidRPr="00563043">
              <w:rPr>
                <w:b/>
                <w:bCs/>
                <w:sz w:val="28"/>
                <w:szCs w:val="28"/>
              </w:rPr>
              <w:t xml:space="preserve">RAG </w:t>
            </w:r>
          </w:p>
          <w:p w14:paraId="373E1341" w14:textId="28A7328E" w:rsidR="008E046B" w:rsidRPr="00563043" w:rsidRDefault="008E046B" w:rsidP="008E046B">
            <w:pPr>
              <w:rPr>
                <w:b/>
                <w:bCs/>
                <w:sz w:val="28"/>
                <w:szCs w:val="28"/>
              </w:rPr>
            </w:pPr>
            <w:r w:rsidRPr="00563043">
              <w:rPr>
                <w:b/>
                <w:bCs/>
                <w:sz w:val="28"/>
                <w:szCs w:val="28"/>
              </w:rPr>
              <w:t>Status</w:t>
            </w:r>
          </w:p>
        </w:tc>
      </w:tr>
      <w:tr w:rsidR="00563043" w:rsidRPr="00563043" w14:paraId="7ADC6B02" w14:textId="77777777" w:rsidTr="0090015D">
        <w:trPr>
          <w:trHeight w:val="4658"/>
        </w:trPr>
        <w:tc>
          <w:tcPr>
            <w:tcW w:w="3397" w:type="dxa"/>
          </w:tcPr>
          <w:p w14:paraId="43AEA4BE" w14:textId="4F3AF957" w:rsidR="00A216F2" w:rsidRDefault="001B5640" w:rsidP="008E046B">
            <w:pPr>
              <w:rPr>
                <w:szCs w:val="24"/>
              </w:rPr>
            </w:pPr>
            <w:r w:rsidRPr="0054163F">
              <w:rPr>
                <w:szCs w:val="24"/>
              </w:rPr>
              <w:t>Budget Pressure</w:t>
            </w:r>
            <w:r w:rsidR="00A216F2">
              <w:rPr>
                <w:szCs w:val="24"/>
              </w:rPr>
              <w:t xml:space="preserve"> </w:t>
            </w:r>
            <w:r w:rsidR="00E43231">
              <w:rPr>
                <w:szCs w:val="24"/>
              </w:rPr>
              <w:t xml:space="preserve">for Harrow Council </w:t>
            </w:r>
            <w:r w:rsidR="00A216F2">
              <w:rPr>
                <w:szCs w:val="24"/>
              </w:rPr>
              <w:t xml:space="preserve">&amp; threat to HBPL’s financial viability </w:t>
            </w:r>
            <w:r w:rsidRPr="0054163F">
              <w:rPr>
                <w:szCs w:val="24"/>
              </w:rPr>
              <w:t xml:space="preserve">if Agreement not extended </w:t>
            </w:r>
          </w:p>
          <w:p w14:paraId="2A05E1E8" w14:textId="031DA7FC" w:rsidR="008E046B" w:rsidRPr="0054163F" w:rsidRDefault="008E046B" w:rsidP="008E046B">
            <w:pPr>
              <w:rPr>
                <w:szCs w:val="24"/>
              </w:rPr>
            </w:pPr>
          </w:p>
        </w:tc>
        <w:tc>
          <w:tcPr>
            <w:tcW w:w="4395" w:type="dxa"/>
          </w:tcPr>
          <w:p w14:paraId="620DBD06" w14:textId="77777777" w:rsidR="007A1A71" w:rsidRPr="007E2AF8" w:rsidRDefault="007A1A71" w:rsidP="007A1A71">
            <w:pPr>
              <w:spacing w:line="259" w:lineRule="auto"/>
              <w:contextualSpacing/>
              <w:rPr>
                <w:szCs w:val="24"/>
              </w:rPr>
            </w:pPr>
            <w:r>
              <w:rPr>
                <w:szCs w:val="24"/>
              </w:rPr>
              <w:t xml:space="preserve">Agreement to the extension will remove these risks </w:t>
            </w:r>
          </w:p>
          <w:p w14:paraId="21540EA8" w14:textId="77777777" w:rsidR="007A1A71" w:rsidRDefault="007A1A71" w:rsidP="0054163F">
            <w:pPr>
              <w:spacing w:line="259" w:lineRule="auto"/>
              <w:contextualSpacing/>
              <w:rPr>
                <w:szCs w:val="24"/>
              </w:rPr>
            </w:pPr>
          </w:p>
          <w:p w14:paraId="5D950D7B" w14:textId="44198019" w:rsidR="0054163F" w:rsidRDefault="0054163F" w:rsidP="0054163F">
            <w:pPr>
              <w:spacing w:line="259" w:lineRule="auto"/>
              <w:contextualSpacing/>
              <w:rPr>
                <w:szCs w:val="24"/>
              </w:rPr>
            </w:pPr>
            <w:r w:rsidRPr="007E2AF8">
              <w:rPr>
                <w:szCs w:val="24"/>
              </w:rPr>
              <w:t>Barnet Council’s Policy and Resources Committee agreed to extend the agreement on 30th September 2021</w:t>
            </w:r>
          </w:p>
          <w:p w14:paraId="1B977542" w14:textId="77777777" w:rsidR="0054163F" w:rsidRPr="007E2AF8" w:rsidRDefault="0054163F" w:rsidP="0054163F">
            <w:pPr>
              <w:spacing w:line="259" w:lineRule="auto"/>
              <w:contextualSpacing/>
              <w:rPr>
                <w:szCs w:val="24"/>
              </w:rPr>
            </w:pPr>
          </w:p>
          <w:p w14:paraId="646936B3" w14:textId="77777777" w:rsidR="007E2AF8" w:rsidRPr="007E2AF8" w:rsidRDefault="0054163F" w:rsidP="0054163F">
            <w:pPr>
              <w:spacing w:line="259" w:lineRule="auto"/>
              <w:contextualSpacing/>
              <w:rPr>
                <w:szCs w:val="24"/>
              </w:rPr>
            </w:pPr>
            <w:r w:rsidRPr="007E2AF8">
              <w:rPr>
                <w:szCs w:val="24"/>
              </w:rPr>
              <w:t>TUPE regulation</w:t>
            </w:r>
            <w:r w:rsidR="00A216F2" w:rsidRPr="007E2AF8">
              <w:rPr>
                <w:szCs w:val="24"/>
              </w:rPr>
              <w:t>s</w:t>
            </w:r>
          </w:p>
          <w:p w14:paraId="2A902D33" w14:textId="77777777" w:rsidR="007E2AF8" w:rsidRPr="007E2AF8" w:rsidRDefault="007E2AF8" w:rsidP="0054163F">
            <w:pPr>
              <w:spacing w:line="259" w:lineRule="auto"/>
              <w:contextualSpacing/>
              <w:rPr>
                <w:szCs w:val="24"/>
              </w:rPr>
            </w:pPr>
          </w:p>
          <w:p w14:paraId="3EB83FD9" w14:textId="503D4BE3" w:rsidR="008E046B" w:rsidRPr="007E2AF8" w:rsidRDefault="00291410" w:rsidP="00F7536F">
            <w:pPr>
              <w:spacing w:line="259" w:lineRule="auto"/>
              <w:contextualSpacing/>
              <w:rPr>
                <w:szCs w:val="24"/>
              </w:rPr>
            </w:pPr>
            <w:bookmarkStart w:id="3" w:name="_Hlk115685543"/>
            <w:r>
              <w:rPr>
                <w:szCs w:val="24"/>
                <w:lang w:eastAsia="en-GB"/>
              </w:rPr>
              <w:t xml:space="preserve">Harrow and Barnet have agreed to Harrow building up &amp; managing a reserve </w:t>
            </w:r>
            <w:r w:rsidR="007E2AF8" w:rsidRPr="007E2AF8">
              <w:rPr>
                <w:szCs w:val="24"/>
                <w:lang w:eastAsia="en-GB"/>
              </w:rPr>
              <w:t xml:space="preserve">to offset any costs incurred by HBPL in circumstances </w:t>
            </w:r>
            <w:r>
              <w:rPr>
                <w:szCs w:val="24"/>
                <w:lang w:eastAsia="en-GB"/>
              </w:rPr>
              <w:t xml:space="preserve">including </w:t>
            </w:r>
            <w:r w:rsidR="007E2AF8" w:rsidRPr="007E2AF8">
              <w:rPr>
                <w:szCs w:val="24"/>
                <w:lang w:eastAsia="en-GB"/>
              </w:rPr>
              <w:t xml:space="preserve">a reduction in the demand for the </w:t>
            </w:r>
            <w:r w:rsidR="007E2AF8">
              <w:rPr>
                <w:szCs w:val="24"/>
                <w:lang w:eastAsia="en-GB"/>
              </w:rPr>
              <w:t>s</w:t>
            </w:r>
            <w:r w:rsidR="007E2AF8" w:rsidRPr="007E2AF8">
              <w:rPr>
                <w:szCs w:val="24"/>
                <w:lang w:eastAsia="en-GB"/>
              </w:rPr>
              <w:t>ervice by Barnet</w:t>
            </w:r>
            <w:r w:rsidR="0054163F" w:rsidRPr="007E2AF8">
              <w:rPr>
                <w:szCs w:val="24"/>
              </w:rPr>
              <w:t xml:space="preserve"> </w:t>
            </w:r>
            <w:bookmarkEnd w:id="3"/>
          </w:p>
        </w:tc>
        <w:tc>
          <w:tcPr>
            <w:tcW w:w="1701" w:type="dxa"/>
            <w:tcBorders>
              <w:bottom w:val="single" w:sz="4" w:space="0" w:color="auto"/>
            </w:tcBorders>
            <w:shd w:val="clear" w:color="auto" w:fill="00B050"/>
          </w:tcPr>
          <w:p w14:paraId="51BAA60A" w14:textId="77777777" w:rsidR="001B5640" w:rsidRDefault="001B5640" w:rsidP="008E046B">
            <w:pPr>
              <w:rPr>
                <w:sz w:val="28"/>
                <w:szCs w:val="28"/>
              </w:rPr>
            </w:pPr>
          </w:p>
          <w:p w14:paraId="663D753E" w14:textId="77777777" w:rsidR="001B5640" w:rsidRDefault="001B5640" w:rsidP="008E046B">
            <w:pPr>
              <w:rPr>
                <w:sz w:val="28"/>
                <w:szCs w:val="28"/>
              </w:rPr>
            </w:pPr>
          </w:p>
          <w:p w14:paraId="2FA65550" w14:textId="77777777" w:rsidR="001B5640" w:rsidRDefault="001B5640" w:rsidP="008E046B">
            <w:pPr>
              <w:rPr>
                <w:sz w:val="28"/>
                <w:szCs w:val="28"/>
              </w:rPr>
            </w:pPr>
          </w:p>
          <w:p w14:paraId="3D763502" w14:textId="7FB84A03" w:rsidR="008E046B" w:rsidRPr="00563043" w:rsidRDefault="008E046B" w:rsidP="008E046B">
            <w:pPr>
              <w:rPr>
                <w:sz w:val="28"/>
                <w:szCs w:val="28"/>
              </w:rPr>
            </w:pPr>
          </w:p>
        </w:tc>
      </w:tr>
      <w:tr w:rsidR="00563043" w:rsidRPr="00563043" w14:paraId="1793DE24" w14:textId="77777777" w:rsidTr="0090015D">
        <w:tc>
          <w:tcPr>
            <w:tcW w:w="3397" w:type="dxa"/>
          </w:tcPr>
          <w:p w14:paraId="329BD948" w14:textId="04AA2F5C" w:rsidR="008E046B" w:rsidRPr="00563043" w:rsidRDefault="00A216F2" w:rsidP="008E046B">
            <w:pPr>
              <w:rPr>
                <w:sz w:val="28"/>
                <w:szCs w:val="28"/>
              </w:rPr>
            </w:pPr>
            <w:r w:rsidRPr="0054163F">
              <w:rPr>
                <w:szCs w:val="24"/>
              </w:rPr>
              <w:t>Damage to Harrow’s reputation</w:t>
            </w:r>
            <w:r w:rsidR="006E586E">
              <w:rPr>
                <w:szCs w:val="24"/>
              </w:rPr>
              <w:t xml:space="preserve"> </w:t>
            </w:r>
            <w:r w:rsidRPr="0054163F">
              <w:rPr>
                <w:szCs w:val="24"/>
              </w:rPr>
              <w:t>should HBPL’s activities attract negative attention</w:t>
            </w:r>
          </w:p>
        </w:tc>
        <w:tc>
          <w:tcPr>
            <w:tcW w:w="4395" w:type="dxa"/>
          </w:tcPr>
          <w:p w14:paraId="15C743DE" w14:textId="6B98869E" w:rsidR="00A216F2" w:rsidRPr="0054163F" w:rsidRDefault="00A216F2" w:rsidP="00A216F2">
            <w:pPr>
              <w:rPr>
                <w:szCs w:val="24"/>
              </w:rPr>
            </w:pPr>
            <w:r>
              <w:rPr>
                <w:szCs w:val="24"/>
              </w:rPr>
              <w:t>S</w:t>
            </w:r>
            <w:r w:rsidRPr="0054163F">
              <w:rPr>
                <w:szCs w:val="24"/>
              </w:rPr>
              <w:t>enior lawyers meet client boroughs and key client teams every month to review work, address issues etc</w:t>
            </w:r>
          </w:p>
          <w:p w14:paraId="044C6DE0" w14:textId="77777777" w:rsidR="00A216F2" w:rsidRDefault="00A216F2" w:rsidP="00A216F2">
            <w:pPr>
              <w:rPr>
                <w:szCs w:val="24"/>
              </w:rPr>
            </w:pPr>
          </w:p>
          <w:p w14:paraId="1883514D" w14:textId="78218AC7" w:rsidR="00A216F2" w:rsidRPr="0054163F" w:rsidRDefault="00A216F2" w:rsidP="00A216F2">
            <w:pPr>
              <w:rPr>
                <w:szCs w:val="24"/>
              </w:rPr>
            </w:pPr>
            <w:r>
              <w:rPr>
                <w:szCs w:val="24"/>
              </w:rPr>
              <w:t>T</w:t>
            </w:r>
            <w:r w:rsidRPr="0054163F">
              <w:rPr>
                <w:szCs w:val="24"/>
              </w:rPr>
              <w:t xml:space="preserve">he practice is inspected regularly by the Law Society </w:t>
            </w:r>
            <w:proofErr w:type="spellStart"/>
            <w:r w:rsidRPr="0054163F">
              <w:rPr>
                <w:szCs w:val="24"/>
              </w:rPr>
              <w:t>lexcel</w:t>
            </w:r>
            <w:proofErr w:type="spellEnd"/>
            <w:r w:rsidRPr="0054163F">
              <w:rPr>
                <w:szCs w:val="24"/>
              </w:rPr>
              <w:t xml:space="preserve"> inspector</w:t>
            </w:r>
          </w:p>
          <w:p w14:paraId="00D2AC8D" w14:textId="77777777" w:rsidR="00A216F2" w:rsidRDefault="00A216F2" w:rsidP="00A216F2">
            <w:pPr>
              <w:ind w:left="360"/>
              <w:rPr>
                <w:sz w:val="28"/>
                <w:szCs w:val="28"/>
              </w:rPr>
            </w:pPr>
          </w:p>
          <w:p w14:paraId="2D324BD4" w14:textId="60791027" w:rsidR="00A216F2" w:rsidRPr="0054163F" w:rsidRDefault="00A216F2" w:rsidP="00A216F2">
            <w:pPr>
              <w:rPr>
                <w:szCs w:val="24"/>
              </w:rPr>
            </w:pPr>
            <w:r>
              <w:rPr>
                <w:szCs w:val="24"/>
              </w:rPr>
              <w:t>S</w:t>
            </w:r>
            <w:r w:rsidRPr="0054163F">
              <w:rPr>
                <w:szCs w:val="24"/>
              </w:rPr>
              <w:t>taff are supervised and have regular supervision meetings</w:t>
            </w:r>
          </w:p>
          <w:p w14:paraId="4C377DD0" w14:textId="77777777" w:rsidR="00A216F2" w:rsidRDefault="00A216F2" w:rsidP="00A216F2">
            <w:pPr>
              <w:rPr>
                <w:szCs w:val="24"/>
              </w:rPr>
            </w:pPr>
          </w:p>
          <w:p w14:paraId="7D93DD1A" w14:textId="6F9A6983" w:rsidR="00A216F2" w:rsidRPr="0054163F" w:rsidRDefault="00A216F2" w:rsidP="00A216F2">
            <w:pPr>
              <w:rPr>
                <w:szCs w:val="24"/>
              </w:rPr>
            </w:pPr>
            <w:r>
              <w:rPr>
                <w:szCs w:val="24"/>
              </w:rPr>
              <w:t>W</w:t>
            </w:r>
            <w:r w:rsidRPr="0054163F">
              <w:rPr>
                <w:szCs w:val="24"/>
              </w:rPr>
              <w:t xml:space="preserve">ork is checked by supervisors </w:t>
            </w:r>
            <w:r>
              <w:rPr>
                <w:szCs w:val="24"/>
              </w:rPr>
              <w:t xml:space="preserve">who review files </w:t>
            </w:r>
          </w:p>
          <w:p w14:paraId="1FEB5EEC" w14:textId="77777777" w:rsidR="008E046B" w:rsidRPr="00563043" w:rsidRDefault="008E046B" w:rsidP="008E046B">
            <w:pPr>
              <w:rPr>
                <w:sz w:val="28"/>
                <w:szCs w:val="28"/>
              </w:rPr>
            </w:pPr>
          </w:p>
        </w:tc>
        <w:tc>
          <w:tcPr>
            <w:tcW w:w="1701" w:type="dxa"/>
            <w:shd w:val="clear" w:color="auto" w:fill="00B050"/>
          </w:tcPr>
          <w:p w14:paraId="23A54D51" w14:textId="2BA055D2" w:rsidR="00A216F2" w:rsidRPr="00563043" w:rsidRDefault="00A216F2" w:rsidP="008E046B">
            <w:pPr>
              <w:rPr>
                <w:sz w:val="28"/>
                <w:szCs w:val="28"/>
              </w:rPr>
            </w:pPr>
          </w:p>
        </w:tc>
      </w:tr>
    </w:tbl>
    <w:p w14:paraId="618735ED" w14:textId="1B2CAD67" w:rsidR="008E046B" w:rsidRDefault="008E046B" w:rsidP="008E046B">
      <w:pPr>
        <w:rPr>
          <w:color w:val="FF0000"/>
          <w:sz w:val="28"/>
          <w:szCs w:val="28"/>
        </w:rPr>
      </w:pPr>
    </w:p>
    <w:bookmarkEnd w:id="0"/>
    <w:bookmarkEnd w:id="1"/>
    <w:bookmarkEnd w:id="2"/>
    <w:p w14:paraId="3D868E96" w14:textId="7A3ACD8D" w:rsidR="006E795E" w:rsidRDefault="006E795E" w:rsidP="0025345A">
      <w:pPr>
        <w:rPr>
          <w:b/>
          <w:bCs/>
          <w:sz w:val="28"/>
          <w:szCs w:val="28"/>
        </w:rPr>
      </w:pPr>
      <w:r w:rsidRPr="006E795E">
        <w:rPr>
          <w:b/>
          <w:bCs/>
          <w:sz w:val="28"/>
          <w:szCs w:val="28"/>
        </w:rPr>
        <w:t>Procurement Implications</w:t>
      </w:r>
    </w:p>
    <w:p w14:paraId="3CECA48A" w14:textId="77777777" w:rsidR="0090015D" w:rsidRPr="006E795E" w:rsidRDefault="0090015D" w:rsidP="0025345A">
      <w:pPr>
        <w:rPr>
          <w:b/>
          <w:bCs/>
          <w:sz w:val="28"/>
          <w:szCs w:val="28"/>
        </w:rPr>
      </w:pPr>
    </w:p>
    <w:p w14:paraId="5FA013C8" w14:textId="7320664E" w:rsidR="008F5114" w:rsidRPr="0025345A" w:rsidRDefault="198D7FDF" w:rsidP="0025345A">
      <w:r>
        <w:t>As this is a delegation of function there are no procurement implications.</w:t>
      </w:r>
    </w:p>
    <w:p w14:paraId="6413EF05" w14:textId="77777777" w:rsidR="0090015D" w:rsidRDefault="0090015D" w:rsidP="2B5849C1">
      <w:pPr>
        <w:rPr>
          <w:b/>
          <w:bCs/>
          <w:sz w:val="28"/>
          <w:szCs w:val="28"/>
        </w:rPr>
      </w:pPr>
    </w:p>
    <w:p w14:paraId="2FAC46CC" w14:textId="4D39A022" w:rsidR="003C7F14" w:rsidRDefault="003C7F14" w:rsidP="2B5849C1">
      <w:pPr>
        <w:rPr>
          <w:b/>
          <w:bCs/>
          <w:sz w:val="28"/>
          <w:szCs w:val="28"/>
        </w:rPr>
      </w:pPr>
      <w:r w:rsidRPr="003C7F14">
        <w:rPr>
          <w:b/>
          <w:bCs/>
          <w:sz w:val="28"/>
          <w:szCs w:val="28"/>
        </w:rPr>
        <w:t>Legal Implications</w:t>
      </w:r>
    </w:p>
    <w:p w14:paraId="13EE2C47" w14:textId="77777777" w:rsidR="0090015D" w:rsidRPr="003C7F14" w:rsidRDefault="0090015D" w:rsidP="2B5849C1">
      <w:pPr>
        <w:rPr>
          <w:b/>
          <w:bCs/>
          <w:sz w:val="28"/>
          <w:szCs w:val="28"/>
        </w:rPr>
      </w:pPr>
    </w:p>
    <w:p w14:paraId="75122C38" w14:textId="01C39956" w:rsidR="000A7636" w:rsidRDefault="15C873D2" w:rsidP="2B5849C1">
      <w:r>
        <w:t xml:space="preserve">The Council has the power to provide legal services to the London Borough of Barnet by virtue of </w:t>
      </w:r>
      <w:r w:rsidR="00D92E3F">
        <w:t xml:space="preserve">Section </w:t>
      </w:r>
      <w:r>
        <w:t>111 of the Local Government Act 1972, and Barnet may arrange for the discharge of their functions by another authority.</w:t>
      </w:r>
      <w:r w:rsidR="0084690D">
        <w:t xml:space="preserve">  T</w:t>
      </w:r>
      <w:r>
        <w:t>here</w:t>
      </w:r>
      <w:r w:rsidR="0084690D">
        <w:t xml:space="preserve"> </w:t>
      </w:r>
      <w:r>
        <w:t>is also a legal basis for the sale and purchase of legal services between local authorities using Section 1 of the Local Authority (Goods and</w:t>
      </w:r>
      <w:r w:rsidR="0084690D">
        <w:t xml:space="preserve"> </w:t>
      </w:r>
      <w:r>
        <w:t>Services) Act 1970.</w:t>
      </w:r>
      <w:r w:rsidR="000825F0">
        <w:t xml:space="preserve">  </w:t>
      </w:r>
      <w:r>
        <w:t xml:space="preserve">HB Public Law will need to comply with all Solicitors’ Regulatory Authority </w:t>
      </w:r>
      <w:r>
        <w:lastRenderedPageBreak/>
        <w:t>Regulations when acting for Barnet or any other local</w:t>
      </w:r>
      <w:r w:rsidR="0084690D">
        <w:t xml:space="preserve"> </w:t>
      </w:r>
      <w:r>
        <w:t>authority.</w:t>
      </w:r>
      <w:r w:rsidR="000825F0">
        <w:t xml:space="preserve">  </w:t>
      </w:r>
      <w:r>
        <w:t>Under Section 3 of the Local Government Act 1999, Local</w:t>
      </w:r>
      <w:r w:rsidR="00424073">
        <w:t xml:space="preserve"> </w:t>
      </w:r>
      <w:r>
        <w:t>Authorities are under a general duty to secure best value services.</w:t>
      </w:r>
      <w:r w:rsidR="000825F0">
        <w:t xml:space="preserve">  </w:t>
      </w:r>
      <w:r>
        <w:t>The duty is to “make arrangements to secure continuous improvement in the way in which functions are exercised, having regard to a combination of</w:t>
      </w:r>
      <w:r w:rsidR="00C0174A">
        <w:t xml:space="preserve"> </w:t>
      </w:r>
      <w:r>
        <w:t>economy, efficiency and effectiveness”.</w:t>
      </w:r>
    </w:p>
    <w:p w14:paraId="4C46D5A7" w14:textId="77777777" w:rsidR="00C82ED4" w:rsidRPr="0025345A" w:rsidRDefault="00C82ED4" w:rsidP="000A7636">
      <w:pPr>
        <w:rPr>
          <w:szCs w:val="24"/>
        </w:rPr>
      </w:pPr>
    </w:p>
    <w:p w14:paraId="54240DA0" w14:textId="77777777" w:rsidR="003C7F14" w:rsidRPr="003C7F14" w:rsidRDefault="003C7F14" w:rsidP="003C7F14">
      <w:pPr>
        <w:pStyle w:val="paragraph"/>
        <w:spacing w:before="0" w:beforeAutospacing="0" w:after="0" w:afterAutospacing="0"/>
        <w:textAlignment w:val="baseline"/>
        <w:rPr>
          <w:rStyle w:val="eop"/>
          <w:rFonts w:ascii="Arial" w:hAnsi="Arial" w:cs="Arial"/>
          <w:b/>
          <w:bCs/>
          <w:sz w:val="28"/>
          <w:szCs w:val="28"/>
        </w:rPr>
      </w:pPr>
      <w:r w:rsidRPr="003C7F14">
        <w:rPr>
          <w:rStyle w:val="eop"/>
          <w:rFonts w:ascii="Arial" w:hAnsi="Arial" w:cs="Arial"/>
          <w:b/>
          <w:bCs/>
          <w:sz w:val="28"/>
          <w:szCs w:val="28"/>
        </w:rPr>
        <w:t>Financial Implications</w:t>
      </w:r>
    </w:p>
    <w:p w14:paraId="75F14748" w14:textId="0067BDCA" w:rsidR="009B5976" w:rsidRPr="00366A1B" w:rsidRDefault="009B5976" w:rsidP="009B5976">
      <w:pPr>
        <w:pStyle w:val="paragraph"/>
        <w:spacing w:before="0" w:beforeAutospacing="0" w:after="0" w:afterAutospacing="0"/>
        <w:textAlignment w:val="baseline"/>
        <w:rPr>
          <w:rStyle w:val="eop"/>
          <w:b/>
          <w:bCs/>
        </w:rPr>
      </w:pPr>
      <w:r w:rsidRPr="2B5849C1">
        <w:rPr>
          <w:rStyle w:val="eop"/>
          <w:rFonts w:ascii="Arial" w:hAnsi="Arial" w:cs="Arial"/>
        </w:rPr>
        <w:t>Failure to agree the extension of the Barnet and Slough agreements w</w:t>
      </w:r>
      <w:r>
        <w:rPr>
          <w:rStyle w:val="eop"/>
          <w:rFonts w:ascii="Arial" w:hAnsi="Arial" w:cs="Arial"/>
        </w:rPr>
        <w:t>ould</w:t>
      </w:r>
      <w:r w:rsidRPr="2B5849C1">
        <w:rPr>
          <w:rStyle w:val="eop"/>
          <w:rFonts w:ascii="Arial" w:hAnsi="Arial" w:cs="Arial"/>
        </w:rPr>
        <w:t xml:space="preserve"> mean</w:t>
      </w:r>
      <w:r>
        <w:rPr>
          <w:rStyle w:val="eop"/>
          <w:rFonts w:ascii="Arial" w:hAnsi="Arial" w:cs="Arial"/>
        </w:rPr>
        <w:t xml:space="preserve"> a</w:t>
      </w:r>
      <w:r w:rsidRPr="2B5849C1">
        <w:rPr>
          <w:rStyle w:val="eop"/>
          <w:rFonts w:ascii="Arial" w:hAnsi="Arial" w:cs="Arial"/>
        </w:rPr>
        <w:t xml:space="preserve"> loss of income to the authority</w:t>
      </w:r>
      <w:r>
        <w:rPr>
          <w:rStyle w:val="eop"/>
          <w:rFonts w:ascii="Arial" w:hAnsi="Arial" w:cs="Arial"/>
        </w:rPr>
        <w:t xml:space="preserve"> and</w:t>
      </w:r>
      <w:r w:rsidRPr="2B5849C1">
        <w:rPr>
          <w:rStyle w:val="eop"/>
          <w:rFonts w:ascii="Arial" w:hAnsi="Arial" w:cs="Arial"/>
        </w:rPr>
        <w:t xml:space="preserve"> </w:t>
      </w:r>
      <w:r>
        <w:rPr>
          <w:rStyle w:val="eop"/>
          <w:rFonts w:ascii="Arial" w:hAnsi="Arial" w:cs="Arial"/>
        </w:rPr>
        <w:t>w</w:t>
      </w:r>
      <w:r w:rsidRPr="2B5849C1">
        <w:rPr>
          <w:rStyle w:val="eop"/>
          <w:rFonts w:ascii="Arial" w:hAnsi="Arial" w:cs="Arial"/>
        </w:rPr>
        <w:t xml:space="preserve">hilst there would </w:t>
      </w:r>
      <w:r>
        <w:rPr>
          <w:rStyle w:val="eop"/>
          <w:rFonts w:ascii="Arial" w:hAnsi="Arial" w:cs="Arial"/>
        </w:rPr>
        <w:t xml:space="preserve">also </w:t>
      </w:r>
      <w:r w:rsidRPr="2B5849C1">
        <w:rPr>
          <w:rStyle w:val="eop"/>
          <w:rFonts w:ascii="Arial" w:hAnsi="Arial" w:cs="Arial"/>
        </w:rPr>
        <w:t xml:space="preserve">be cost savings </w:t>
      </w:r>
      <w:r>
        <w:rPr>
          <w:rStyle w:val="eop"/>
          <w:rFonts w:ascii="Arial" w:hAnsi="Arial" w:cs="Arial"/>
        </w:rPr>
        <w:t xml:space="preserve">as staff would be </w:t>
      </w:r>
      <w:proofErr w:type="spellStart"/>
      <w:r w:rsidRPr="2B5849C1">
        <w:rPr>
          <w:rStyle w:val="eop"/>
          <w:rFonts w:ascii="Arial" w:hAnsi="Arial" w:cs="Arial"/>
        </w:rPr>
        <w:t>TUPE</w:t>
      </w:r>
      <w:r>
        <w:rPr>
          <w:rStyle w:val="eop"/>
          <w:rFonts w:ascii="Arial" w:hAnsi="Arial" w:cs="Arial"/>
        </w:rPr>
        <w:t>’d</w:t>
      </w:r>
      <w:proofErr w:type="spellEnd"/>
      <w:r w:rsidRPr="2B5849C1">
        <w:rPr>
          <w:rStyle w:val="eop"/>
          <w:rFonts w:ascii="Arial" w:hAnsi="Arial" w:cs="Arial"/>
        </w:rPr>
        <w:t xml:space="preserve"> to those boroughs, the overall impact on Harrow would create a budgetary pressure. </w:t>
      </w:r>
      <w:r>
        <w:rPr>
          <w:rStyle w:val="eop"/>
          <w:rFonts w:ascii="Arial" w:hAnsi="Arial" w:cs="Arial"/>
        </w:rPr>
        <w:t xml:space="preserve">There may also be pension strain liabilities. </w:t>
      </w:r>
    </w:p>
    <w:p w14:paraId="44488BD8" w14:textId="77777777" w:rsidR="009B5976" w:rsidRPr="00366A1B" w:rsidRDefault="009B5976" w:rsidP="009B5976">
      <w:pPr>
        <w:pStyle w:val="paragraph"/>
        <w:spacing w:before="0" w:beforeAutospacing="0" w:after="0" w:afterAutospacing="0"/>
        <w:textAlignment w:val="baseline"/>
        <w:rPr>
          <w:rStyle w:val="eop"/>
          <w:b/>
          <w:bCs/>
        </w:rPr>
      </w:pPr>
    </w:p>
    <w:p w14:paraId="2E29AC85" w14:textId="77777777" w:rsidR="009B5976" w:rsidRPr="00366A1B" w:rsidRDefault="009B5976" w:rsidP="009B5976">
      <w:pPr>
        <w:pStyle w:val="paragraph"/>
        <w:spacing w:before="0" w:beforeAutospacing="0" w:after="0" w:afterAutospacing="0"/>
        <w:textAlignment w:val="baseline"/>
        <w:rPr>
          <w:rStyle w:val="eop"/>
          <w:rFonts w:ascii="Arial" w:hAnsi="Arial" w:cs="Arial"/>
        </w:rPr>
      </w:pPr>
      <w:r w:rsidRPr="2B5849C1">
        <w:rPr>
          <w:rStyle w:val="eop"/>
          <w:rFonts w:ascii="Arial" w:hAnsi="Arial" w:cs="Arial"/>
        </w:rPr>
        <w:t xml:space="preserve">Operationally, it would lead to </w:t>
      </w:r>
      <w:r>
        <w:rPr>
          <w:rStyle w:val="eop"/>
          <w:rFonts w:ascii="Arial" w:hAnsi="Arial" w:cs="Arial"/>
        </w:rPr>
        <w:t>Harrow</w:t>
      </w:r>
      <w:r w:rsidRPr="2B5849C1">
        <w:rPr>
          <w:rStyle w:val="eop"/>
          <w:rFonts w:ascii="Arial" w:hAnsi="Arial" w:cs="Arial"/>
        </w:rPr>
        <w:t xml:space="preserve"> being required to fund the practice that remained or reduce the legal provision to Harrow services. This could possibly create additional financial, operational, and reputational</w:t>
      </w:r>
      <w:r>
        <w:rPr>
          <w:rStyle w:val="eop"/>
          <w:rFonts w:ascii="Arial" w:hAnsi="Arial" w:cs="Arial"/>
        </w:rPr>
        <w:t xml:space="preserve"> </w:t>
      </w:r>
      <w:r w:rsidRPr="2B5849C1">
        <w:rPr>
          <w:rStyle w:val="eop"/>
          <w:rFonts w:ascii="Arial" w:hAnsi="Arial" w:cs="Arial"/>
        </w:rPr>
        <w:t>risk for the authority.</w:t>
      </w:r>
    </w:p>
    <w:p w14:paraId="0FCC35FF" w14:textId="77777777" w:rsidR="009B5976" w:rsidRPr="00366A1B" w:rsidRDefault="009B5976" w:rsidP="009B5976">
      <w:pPr>
        <w:pStyle w:val="paragraph"/>
        <w:spacing w:before="0" w:beforeAutospacing="0" w:after="0" w:afterAutospacing="0"/>
        <w:ind w:left="720" w:hanging="720"/>
        <w:jc w:val="both"/>
        <w:textAlignment w:val="baseline"/>
        <w:rPr>
          <w:rStyle w:val="normaltextrun"/>
          <w:rFonts w:ascii="Arial" w:hAnsi="Arial" w:cs="Arial"/>
          <w:b/>
          <w:bCs/>
          <w:sz w:val="28"/>
          <w:szCs w:val="28"/>
        </w:rPr>
      </w:pPr>
    </w:p>
    <w:p w14:paraId="28403CA6" w14:textId="283C0528" w:rsidR="009B5976" w:rsidRPr="00366A1B" w:rsidRDefault="009B5976" w:rsidP="009B5976">
      <w:pPr>
        <w:pStyle w:val="paragraph"/>
        <w:spacing w:before="0" w:beforeAutospacing="0" w:after="0" w:afterAutospacing="0"/>
        <w:textAlignment w:val="baseline"/>
        <w:rPr>
          <w:rStyle w:val="eop"/>
          <w:rFonts w:ascii="Arial" w:hAnsi="Arial" w:cs="Arial"/>
        </w:rPr>
      </w:pPr>
      <w:r w:rsidRPr="2B5849C1">
        <w:rPr>
          <w:rStyle w:val="eop"/>
          <w:rFonts w:ascii="Arial" w:hAnsi="Arial" w:cs="Arial"/>
        </w:rPr>
        <w:t>The</w:t>
      </w:r>
      <w:r>
        <w:rPr>
          <w:rStyle w:val="eop"/>
          <w:rFonts w:ascii="Arial" w:hAnsi="Arial" w:cs="Arial"/>
        </w:rPr>
        <w:t xml:space="preserve"> internal b</w:t>
      </w:r>
      <w:r w:rsidRPr="2B5849C1">
        <w:rPr>
          <w:rStyle w:val="eop"/>
          <w:rFonts w:ascii="Arial" w:hAnsi="Arial" w:cs="Arial"/>
        </w:rPr>
        <w:t xml:space="preserve">udget for the shared legal practice for the 2022/23 financial </w:t>
      </w:r>
      <w:r>
        <w:rPr>
          <w:rStyle w:val="eop"/>
          <w:rFonts w:ascii="Arial" w:hAnsi="Arial" w:cs="Arial"/>
        </w:rPr>
        <w:t xml:space="preserve">year </w:t>
      </w:r>
      <w:r w:rsidRPr="2B5849C1">
        <w:rPr>
          <w:rStyle w:val="eop"/>
          <w:rFonts w:ascii="Arial" w:hAnsi="Arial" w:cs="Arial"/>
        </w:rPr>
        <w:t>is £1.69M. As at Period 4 (July)</w:t>
      </w:r>
      <w:r>
        <w:rPr>
          <w:rStyle w:val="eop"/>
          <w:rFonts w:ascii="Arial" w:hAnsi="Arial" w:cs="Arial"/>
        </w:rPr>
        <w:t>, t</w:t>
      </w:r>
      <w:r w:rsidRPr="2B5849C1">
        <w:rPr>
          <w:rStyle w:val="eop"/>
          <w:rFonts w:ascii="Arial" w:hAnsi="Arial" w:cs="Arial"/>
        </w:rPr>
        <w:t xml:space="preserve">he </w:t>
      </w:r>
      <w:r>
        <w:rPr>
          <w:rStyle w:val="eop"/>
          <w:rFonts w:ascii="Arial" w:hAnsi="Arial" w:cs="Arial"/>
        </w:rPr>
        <w:t>p</w:t>
      </w:r>
      <w:r w:rsidRPr="2B5849C1">
        <w:rPr>
          <w:rStyle w:val="eop"/>
          <w:rFonts w:ascii="Arial" w:hAnsi="Arial" w:cs="Arial"/>
        </w:rPr>
        <w:t>ractice is project</w:t>
      </w:r>
      <w:r w:rsidR="00FB3E43">
        <w:rPr>
          <w:rStyle w:val="eop"/>
          <w:rFonts w:ascii="Arial" w:hAnsi="Arial" w:cs="Arial"/>
        </w:rPr>
        <w:t xml:space="preserve">ing a </w:t>
      </w:r>
      <w:r w:rsidRPr="2B5849C1">
        <w:rPr>
          <w:rStyle w:val="eop"/>
          <w:rFonts w:ascii="Arial" w:hAnsi="Arial" w:cs="Arial"/>
        </w:rPr>
        <w:t xml:space="preserve">small underspend of £0.016M. </w:t>
      </w:r>
    </w:p>
    <w:p w14:paraId="43636AF2" w14:textId="77777777" w:rsidR="009B5976" w:rsidRPr="00366A1B" w:rsidRDefault="009B5976" w:rsidP="009B5976">
      <w:pPr>
        <w:pStyle w:val="paragraph"/>
        <w:spacing w:before="0" w:beforeAutospacing="0" w:after="0" w:afterAutospacing="0"/>
        <w:textAlignment w:val="baseline"/>
        <w:rPr>
          <w:rStyle w:val="eop"/>
          <w:rFonts w:ascii="Arial" w:hAnsi="Arial" w:cs="Arial"/>
        </w:rPr>
      </w:pPr>
    </w:p>
    <w:p w14:paraId="580A9A0F" w14:textId="77777777" w:rsidR="009B5976" w:rsidRPr="00366A1B" w:rsidRDefault="009B5976" w:rsidP="009B5976">
      <w:pPr>
        <w:pStyle w:val="paragraph"/>
        <w:spacing w:before="0" w:beforeAutospacing="0" w:after="0" w:afterAutospacing="0"/>
        <w:textAlignment w:val="baseline"/>
        <w:rPr>
          <w:rStyle w:val="eop"/>
          <w:rFonts w:ascii="Arial" w:hAnsi="Arial" w:cs="Arial"/>
        </w:rPr>
      </w:pPr>
      <w:r w:rsidRPr="2B5849C1">
        <w:rPr>
          <w:rStyle w:val="eop"/>
          <w:rFonts w:ascii="Arial" w:hAnsi="Arial" w:cs="Arial"/>
        </w:rPr>
        <w:t>The future costs for the practice will be driven by the impact of salary and inflationary rises. This cost will be passed onto client</w:t>
      </w:r>
      <w:r>
        <w:rPr>
          <w:rStyle w:val="eop"/>
          <w:rFonts w:ascii="Arial" w:hAnsi="Arial" w:cs="Arial"/>
        </w:rPr>
        <w:t>s</w:t>
      </w:r>
      <w:r w:rsidRPr="2B5849C1">
        <w:rPr>
          <w:rStyle w:val="eop"/>
          <w:rFonts w:ascii="Arial" w:hAnsi="Arial" w:cs="Arial"/>
        </w:rPr>
        <w:t xml:space="preserve"> through </w:t>
      </w:r>
      <w:r>
        <w:rPr>
          <w:rStyle w:val="eop"/>
          <w:rFonts w:ascii="Arial" w:hAnsi="Arial" w:cs="Arial"/>
        </w:rPr>
        <w:t xml:space="preserve">increases in the </w:t>
      </w:r>
      <w:r w:rsidRPr="2B5849C1">
        <w:rPr>
          <w:rStyle w:val="eop"/>
          <w:rFonts w:ascii="Arial" w:hAnsi="Arial" w:cs="Arial"/>
        </w:rPr>
        <w:t>rate</w:t>
      </w:r>
      <w:r>
        <w:rPr>
          <w:rStyle w:val="eop"/>
          <w:rFonts w:ascii="Arial" w:hAnsi="Arial" w:cs="Arial"/>
        </w:rPr>
        <w:t xml:space="preserve">s </w:t>
      </w:r>
      <w:r w:rsidRPr="2B5849C1">
        <w:rPr>
          <w:rStyle w:val="eop"/>
          <w:rFonts w:ascii="Arial" w:hAnsi="Arial" w:cs="Arial"/>
        </w:rPr>
        <w:t>the practice charges.</w:t>
      </w:r>
    </w:p>
    <w:p w14:paraId="29C50A9E" w14:textId="77777777" w:rsidR="009B5976" w:rsidRPr="00366A1B" w:rsidRDefault="009B5976" w:rsidP="009B5976">
      <w:pPr>
        <w:pStyle w:val="paragraph"/>
        <w:spacing w:before="0" w:beforeAutospacing="0" w:after="0" w:afterAutospacing="0"/>
        <w:textAlignment w:val="baseline"/>
        <w:rPr>
          <w:rStyle w:val="eop"/>
          <w:rFonts w:ascii="Arial" w:hAnsi="Arial" w:cs="Arial"/>
        </w:rPr>
      </w:pPr>
    </w:p>
    <w:p w14:paraId="073508B9" w14:textId="77777777" w:rsidR="009B5976" w:rsidRPr="00366A1B" w:rsidRDefault="009B5976" w:rsidP="009B5976">
      <w:pPr>
        <w:pStyle w:val="paragraph"/>
        <w:spacing w:before="0" w:beforeAutospacing="0" w:after="0" w:afterAutospacing="0"/>
        <w:textAlignment w:val="baseline"/>
        <w:rPr>
          <w:rStyle w:val="eop"/>
          <w:rFonts w:ascii="Arial" w:hAnsi="Arial" w:cs="Arial"/>
        </w:rPr>
      </w:pPr>
      <w:r w:rsidRPr="2B5849C1">
        <w:rPr>
          <w:rStyle w:val="eop"/>
          <w:rFonts w:ascii="Arial" w:hAnsi="Arial" w:cs="Arial"/>
        </w:rPr>
        <w:t xml:space="preserve">Most of the funding of the legal practice comes from client income, rather than internal income, </w:t>
      </w:r>
      <w:r>
        <w:rPr>
          <w:rStyle w:val="eop"/>
          <w:rFonts w:ascii="Arial" w:hAnsi="Arial" w:cs="Arial"/>
        </w:rPr>
        <w:t>and</w:t>
      </w:r>
      <w:r w:rsidRPr="2B5849C1">
        <w:rPr>
          <w:rStyle w:val="eop"/>
          <w:rFonts w:ascii="Arial" w:hAnsi="Arial" w:cs="Arial"/>
        </w:rPr>
        <w:t xml:space="preserve"> is approximately £7.4M per annum. </w:t>
      </w:r>
    </w:p>
    <w:p w14:paraId="189C52F6" w14:textId="77777777" w:rsidR="009B5976" w:rsidRPr="00366A1B" w:rsidRDefault="009B5976" w:rsidP="009B5976">
      <w:pPr>
        <w:pStyle w:val="paragraph"/>
        <w:spacing w:before="0" w:beforeAutospacing="0" w:after="0" w:afterAutospacing="0"/>
        <w:textAlignment w:val="baseline"/>
        <w:rPr>
          <w:rFonts w:ascii="Segoe UI" w:hAnsi="Segoe UI" w:cs="Segoe UI"/>
          <w:sz w:val="18"/>
          <w:szCs w:val="18"/>
        </w:rPr>
      </w:pPr>
      <w:r w:rsidRPr="00366A1B">
        <w:rPr>
          <w:rStyle w:val="eop"/>
          <w:rFonts w:ascii="Arial" w:hAnsi="Arial" w:cs="Arial"/>
        </w:rPr>
        <w:t> </w:t>
      </w:r>
    </w:p>
    <w:p w14:paraId="40277239" w14:textId="3E5FA9DA" w:rsidR="009B5976" w:rsidRDefault="009B5976" w:rsidP="009B5976">
      <w:pPr>
        <w:pStyle w:val="paragraph"/>
        <w:spacing w:before="0" w:beforeAutospacing="0" w:after="0" w:afterAutospacing="0"/>
        <w:textAlignment w:val="baseline"/>
        <w:rPr>
          <w:rStyle w:val="eop"/>
          <w:rFonts w:ascii="Arial" w:hAnsi="Arial" w:cs="Arial"/>
        </w:rPr>
      </w:pPr>
      <w:r w:rsidRPr="2B5849C1">
        <w:rPr>
          <w:rStyle w:val="eop"/>
          <w:rFonts w:ascii="Arial" w:hAnsi="Arial" w:cs="Arial"/>
        </w:rPr>
        <w:t>The recommendations proposed by the report will have no impact on the authority’s Medium Term Budget Strategy.</w:t>
      </w:r>
      <w:r>
        <w:rPr>
          <w:rStyle w:val="eop"/>
          <w:rFonts w:ascii="Arial" w:hAnsi="Arial" w:cs="Arial"/>
        </w:rPr>
        <w:t xml:space="preserve">  </w:t>
      </w:r>
      <w:r w:rsidRPr="2B5849C1">
        <w:rPr>
          <w:rStyle w:val="eop"/>
          <w:rFonts w:ascii="Arial" w:hAnsi="Arial" w:cs="Arial"/>
        </w:rPr>
        <w:t xml:space="preserve">It is HBPL’s aim for the practice to be financially self-sufficient and securing the extension of </w:t>
      </w:r>
      <w:r w:rsidR="006765D8">
        <w:rPr>
          <w:rStyle w:val="eop"/>
          <w:rFonts w:ascii="Arial" w:hAnsi="Arial" w:cs="Arial"/>
        </w:rPr>
        <w:t xml:space="preserve">the </w:t>
      </w:r>
      <w:r w:rsidRPr="2B5849C1">
        <w:rPr>
          <w:rStyle w:val="eop"/>
          <w:rFonts w:ascii="Arial" w:hAnsi="Arial" w:cs="Arial"/>
        </w:rPr>
        <w:t xml:space="preserve">IAA with Barnet </w:t>
      </w:r>
      <w:r w:rsidR="006765D8">
        <w:rPr>
          <w:rStyle w:val="eop"/>
          <w:rFonts w:ascii="Arial" w:hAnsi="Arial" w:cs="Arial"/>
        </w:rPr>
        <w:t xml:space="preserve">Council </w:t>
      </w:r>
      <w:r w:rsidRPr="2B5849C1">
        <w:rPr>
          <w:rStyle w:val="eop"/>
          <w:rFonts w:ascii="Arial" w:hAnsi="Arial" w:cs="Arial"/>
        </w:rPr>
        <w:t>will allow for the continuation of a financially stable service.</w:t>
      </w:r>
    </w:p>
    <w:p w14:paraId="4455B9CA" w14:textId="77777777" w:rsidR="009B5976" w:rsidRDefault="009B5976" w:rsidP="009B5976">
      <w:pPr>
        <w:pStyle w:val="paragraph"/>
        <w:textAlignment w:val="baseline"/>
        <w:rPr>
          <w:rStyle w:val="eop"/>
          <w:rFonts w:ascii="Segoe UI" w:hAnsi="Segoe UI" w:cs="Segoe UI"/>
          <w:sz w:val="18"/>
          <w:szCs w:val="18"/>
        </w:rPr>
      </w:pPr>
      <w:r>
        <w:rPr>
          <w:rStyle w:val="eop"/>
          <w:rFonts w:ascii="Arial" w:hAnsi="Arial" w:cs="Arial"/>
        </w:rPr>
        <w:t>The recommendations proposed by the report contains no requirements for savings to be made elsewhere within the Legal budget and will have no impact on the current staff establishment within Legal and Governance.</w:t>
      </w:r>
    </w:p>
    <w:p w14:paraId="27C5665B" w14:textId="77777777" w:rsidR="009B5976" w:rsidRPr="00366A1B" w:rsidRDefault="009B5976" w:rsidP="009B5976">
      <w:pPr>
        <w:pStyle w:val="paragraph"/>
        <w:spacing w:before="0" w:beforeAutospacing="0" w:after="0" w:afterAutospacing="0"/>
        <w:textAlignment w:val="baseline"/>
        <w:rPr>
          <w:rStyle w:val="eop"/>
          <w:rFonts w:ascii="Arial" w:hAnsi="Arial" w:cs="Arial"/>
        </w:rPr>
      </w:pPr>
      <w:r w:rsidRPr="2B5849C1">
        <w:rPr>
          <w:rStyle w:val="eop"/>
          <w:rFonts w:ascii="Arial" w:hAnsi="Arial" w:cs="Arial"/>
        </w:rPr>
        <w:t xml:space="preserve">The terms within the </w:t>
      </w:r>
      <w:r>
        <w:rPr>
          <w:rStyle w:val="eop"/>
          <w:rFonts w:ascii="Arial" w:hAnsi="Arial" w:cs="Arial"/>
        </w:rPr>
        <w:t xml:space="preserve">proposed </w:t>
      </w:r>
      <w:r w:rsidRPr="2B5849C1">
        <w:rPr>
          <w:rStyle w:val="eop"/>
          <w:rFonts w:ascii="Arial" w:hAnsi="Arial" w:cs="Arial"/>
        </w:rPr>
        <w:t xml:space="preserve">new IAA provide that </w:t>
      </w:r>
      <w:r>
        <w:rPr>
          <w:rStyle w:val="eop"/>
          <w:rFonts w:ascii="Arial" w:hAnsi="Arial" w:cs="Arial"/>
        </w:rPr>
        <w:t xml:space="preserve">all </w:t>
      </w:r>
      <w:r w:rsidRPr="2B5849C1">
        <w:rPr>
          <w:rStyle w:val="eop"/>
          <w:rFonts w:ascii="Arial" w:hAnsi="Arial" w:cs="Arial"/>
        </w:rPr>
        <w:t xml:space="preserve">salary award </w:t>
      </w:r>
      <w:r>
        <w:rPr>
          <w:rStyle w:val="eop"/>
          <w:rFonts w:ascii="Arial" w:hAnsi="Arial" w:cs="Arial"/>
        </w:rPr>
        <w:t xml:space="preserve">increases will be reflected in changes to the </w:t>
      </w:r>
      <w:r w:rsidRPr="2B5849C1">
        <w:rPr>
          <w:rStyle w:val="eop"/>
          <w:rFonts w:ascii="Arial" w:hAnsi="Arial" w:cs="Arial"/>
        </w:rPr>
        <w:t xml:space="preserve">hourly </w:t>
      </w:r>
      <w:r>
        <w:rPr>
          <w:rStyle w:val="eop"/>
          <w:rFonts w:ascii="Arial" w:hAnsi="Arial" w:cs="Arial"/>
        </w:rPr>
        <w:t xml:space="preserve">charge out </w:t>
      </w:r>
      <w:r w:rsidRPr="2B5849C1">
        <w:rPr>
          <w:rStyle w:val="eop"/>
          <w:rFonts w:ascii="Arial" w:hAnsi="Arial" w:cs="Arial"/>
        </w:rPr>
        <w:t xml:space="preserve">rates. The proposed new terms will set HBPL’s ability to automatically apply an increase </w:t>
      </w:r>
      <w:r>
        <w:rPr>
          <w:rStyle w:val="eop"/>
          <w:rFonts w:ascii="Arial" w:hAnsi="Arial" w:cs="Arial"/>
        </w:rPr>
        <w:t xml:space="preserve">of </w:t>
      </w:r>
      <w:r w:rsidRPr="2B5849C1">
        <w:rPr>
          <w:rStyle w:val="eop"/>
          <w:rFonts w:ascii="Arial" w:hAnsi="Arial" w:cs="Arial"/>
        </w:rPr>
        <w:t xml:space="preserve">up to 5%. Increases </w:t>
      </w:r>
      <w:r>
        <w:rPr>
          <w:rStyle w:val="eop"/>
          <w:rFonts w:ascii="Arial" w:hAnsi="Arial" w:cs="Arial"/>
        </w:rPr>
        <w:t>above 5% (</w:t>
      </w:r>
      <w:r w:rsidRPr="2B5849C1">
        <w:rPr>
          <w:rStyle w:val="eop"/>
          <w:rFonts w:ascii="Arial" w:hAnsi="Arial" w:cs="Arial"/>
        </w:rPr>
        <w:t>that can be proven</w:t>
      </w:r>
      <w:r>
        <w:rPr>
          <w:rStyle w:val="eop"/>
          <w:rFonts w:ascii="Arial" w:hAnsi="Arial" w:cs="Arial"/>
        </w:rPr>
        <w:t xml:space="preserve">) </w:t>
      </w:r>
      <w:r w:rsidRPr="2B5849C1">
        <w:rPr>
          <w:rStyle w:val="eop"/>
          <w:rFonts w:ascii="Arial" w:hAnsi="Arial" w:cs="Arial"/>
        </w:rPr>
        <w:t>wi</w:t>
      </w:r>
      <w:r>
        <w:rPr>
          <w:rStyle w:val="eop"/>
          <w:rFonts w:ascii="Arial" w:hAnsi="Arial" w:cs="Arial"/>
        </w:rPr>
        <w:t xml:space="preserve">ll </w:t>
      </w:r>
      <w:r w:rsidRPr="2B5849C1">
        <w:rPr>
          <w:rStyle w:val="eop"/>
          <w:rFonts w:ascii="Arial" w:hAnsi="Arial" w:cs="Arial"/>
        </w:rPr>
        <w:t>require the approval of the client council.</w:t>
      </w:r>
    </w:p>
    <w:p w14:paraId="5AF48115" w14:textId="77777777" w:rsidR="009B5976" w:rsidRPr="00366A1B" w:rsidRDefault="009B5976" w:rsidP="009B5976">
      <w:pPr>
        <w:pStyle w:val="paragraph"/>
        <w:spacing w:before="0" w:beforeAutospacing="0" w:after="0" w:afterAutospacing="0"/>
        <w:textAlignment w:val="baseline"/>
        <w:rPr>
          <w:rStyle w:val="eop"/>
          <w:rFonts w:ascii="Arial" w:hAnsi="Arial" w:cs="Arial"/>
        </w:rPr>
      </w:pPr>
    </w:p>
    <w:p w14:paraId="7108DC2A" w14:textId="77777777" w:rsidR="009B5976" w:rsidRPr="00366A1B" w:rsidRDefault="009B5976" w:rsidP="009B5976">
      <w:pPr>
        <w:pStyle w:val="paragraph"/>
        <w:spacing w:before="0" w:beforeAutospacing="0" w:after="0" w:afterAutospacing="0"/>
        <w:textAlignment w:val="baseline"/>
        <w:rPr>
          <w:rStyle w:val="eop"/>
          <w:rFonts w:ascii="Arial" w:hAnsi="Arial" w:cs="Arial"/>
        </w:rPr>
      </w:pPr>
      <w:r w:rsidRPr="2B5849C1">
        <w:rPr>
          <w:rStyle w:val="eop"/>
          <w:rFonts w:ascii="Arial" w:hAnsi="Arial" w:cs="Arial"/>
        </w:rPr>
        <w:t>The current IAA has financially benefitted both Harrow and its client partners. HBPL has for several years produced surpluses that have supported both Harrow and its partners through contributing to Harrow’s overall financial position and creating earmarked reserves.</w:t>
      </w:r>
      <w:r>
        <w:rPr>
          <w:rStyle w:val="eop"/>
          <w:rFonts w:ascii="Arial" w:hAnsi="Arial" w:cs="Arial"/>
        </w:rPr>
        <w:t xml:space="preserve">  </w:t>
      </w:r>
    </w:p>
    <w:p w14:paraId="36C707EC" w14:textId="71171EED" w:rsidR="001E319D" w:rsidRDefault="001E319D" w:rsidP="001E319D">
      <w:pPr>
        <w:pStyle w:val="paragraph"/>
        <w:spacing w:before="0" w:beforeAutospacing="0" w:after="0" w:afterAutospacing="0"/>
        <w:textAlignment w:val="baseline"/>
        <w:rPr>
          <w:rStyle w:val="eop"/>
          <w:rFonts w:ascii="Arial" w:hAnsi="Arial" w:cs="Arial"/>
          <w:b/>
          <w:bCs/>
        </w:rPr>
      </w:pPr>
      <w:r w:rsidRPr="00366A1B">
        <w:rPr>
          <w:rStyle w:val="eop"/>
          <w:rFonts w:ascii="Arial" w:hAnsi="Arial" w:cs="Arial"/>
          <w:b/>
          <w:bCs/>
        </w:rPr>
        <w:t> </w:t>
      </w:r>
    </w:p>
    <w:p w14:paraId="1F0A50D4" w14:textId="4A5F1C36" w:rsidR="00A154F0" w:rsidRDefault="00A154F0" w:rsidP="001E319D">
      <w:pPr>
        <w:pStyle w:val="paragraph"/>
        <w:spacing w:before="0" w:beforeAutospacing="0" w:after="0" w:afterAutospacing="0"/>
        <w:textAlignment w:val="baseline"/>
        <w:rPr>
          <w:rStyle w:val="eop"/>
          <w:rFonts w:ascii="Arial" w:hAnsi="Arial" w:cs="Arial"/>
          <w:b/>
          <w:bCs/>
        </w:rPr>
      </w:pPr>
    </w:p>
    <w:p w14:paraId="3DCA3249" w14:textId="77777777" w:rsidR="00A154F0" w:rsidRPr="00366A1B" w:rsidRDefault="00A154F0" w:rsidP="001E319D">
      <w:pPr>
        <w:pStyle w:val="paragraph"/>
        <w:spacing w:before="0" w:beforeAutospacing="0" w:after="0" w:afterAutospacing="0"/>
        <w:textAlignment w:val="baseline"/>
        <w:rPr>
          <w:rFonts w:ascii="Segoe UI" w:hAnsi="Segoe UI" w:cs="Segoe UI"/>
          <w:sz w:val="18"/>
          <w:szCs w:val="18"/>
        </w:rPr>
      </w:pPr>
    </w:p>
    <w:p w14:paraId="66BBB80D" w14:textId="77777777" w:rsidR="00D92E3F" w:rsidRDefault="00D92E3F" w:rsidP="00D92E3F">
      <w:pPr>
        <w:pStyle w:val="Heading2"/>
        <w:spacing w:before="480" w:after="240"/>
      </w:pPr>
      <w:r>
        <w:lastRenderedPageBreak/>
        <w:t>Section 3 - Statutory Officer Clearance</w:t>
      </w:r>
    </w:p>
    <w:p w14:paraId="2A453724" w14:textId="23BEF9F5" w:rsidR="00D92E3F" w:rsidRPr="00A66326" w:rsidRDefault="00D92E3F" w:rsidP="00D92E3F">
      <w:pPr>
        <w:rPr>
          <w:sz w:val="28"/>
        </w:rPr>
      </w:pPr>
      <w:r w:rsidRPr="00A66326">
        <w:rPr>
          <w:b/>
          <w:sz w:val="28"/>
        </w:rPr>
        <w:t xml:space="preserve">Statutory Officer:  </w:t>
      </w:r>
      <w:r>
        <w:rPr>
          <w:b/>
          <w:sz w:val="28"/>
        </w:rPr>
        <w:t>Sharon Daniels</w:t>
      </w:r>
    </w:p>
    <w:p w14:paraId="3C612B88" w14:textId="1EDE9F46" w:rsidR="00D92E3F" w:rsidRPr="00A66326" w:rsidRDefault="00D92E3F" w:rsidP="00D92E3F">
      <w:r w:rsidRPr="00A66326">
        <w:t>Signed on behalf of the Chief Financial Officer</w:t>
      </w:r>
    </w:p>
    <w:p w14:paraId="40C7CE56" w14:textId="37890F57" w:rsidR="00D92E3F" w:rsidRPr="00A66326" w:rsidRDefault="00D92E3F" w:rsidP="00D92E3F">
      <w:pPr>
        <w:spacing w:after="480"/>
        <w:rPr>
          <w:sz w:val="28"/>
        </w:rPr>
      </w:pPr>
      <w:r w:rsidRPr="00A66326">
        <w:rPr>
          <w:b/>
          <w:sz w:val="28"/>
        </w:rPr>
        <w:t xml:space="preserve">Date:  </w:t>
      </w:r>
      <w:r>
        <w:rPr>
          <w:b/>
          <w:sz w:val="28"/>
        </w:rPr>
        <w:t>03/10/22</w:t>
      </w:r>
    </w:p>
    <w:p w14:paraId="4C437D94" w14:textId="679B45B3" w:rsidR="00D92E3F" w:rsidRPr="00A66326" w:rsidRDefault="00D92E3F" w:rsidP="00D92E3F">
      <w:pPr>
        <w:rPr>
          <w:sz w:val="28"/>
        </w:rPr>
      </w:pPr>
      <w:r w:rsidRPr="00A66326">
        <w:rPr>
          <w:b/>
          <w:sz w:val="28"/>
        </w:rPr>
        <w:t xml:space="preserve">Statutory Officer:  </w:t>
      </w:r>
      <w:r>
        <w:rPr>
          <w:b/>
          <w:sz w:val="28"/>
        </w:rPr>
        <w:t>Hugh Peart</w:t>
      </w:r>
    </w:p>
    <w:p w14:paraId="5435636B" w14:textId="53673C4B" w:rsidR="00D92E3F" w:rsidRPr="00A66326" w:rsidRDefault="00D92E3F" w:rsidP="00D92E3F">
      <w:r w:rsidRPr="00A66326">
        <w:t>Signed by the Monitoring Officer</w:t>
      </w:r>
    </w:p>
    <w:p w14:paraId="0A7B62F2" w14:textId="60675EFA" w:rsidR="00D92E3F" w:rsidRPr="003313EA" w:rsidRDefault="00D92E3F" w:rsidP="00D92E3F">
      <w:pPr>
        <w:spacing w:after="480"/>
        <w:rPr>
          <w:sz w:val="28"/>
        </w:rPr>
      </w:pPr>
      <w:r w:rsidRPr="00A66326">
        <w:rPr>
          <w:b/>
          <w:sz w:val="28"/>
        </w:rPr>
        <w:t xml:space="preserve">Date:  </w:t>
      </w:r>
      <w:r>
        <w:rPr>
          <w:b/>
          <w:sz w:val="28"/>
        </w:rPr>
        <w:t>03/10/22</w:t>
      </w:r>
    </w:p>
    <w:p w14:paraId="2DDEC4B0" w14:textId="5D803866" w:rsidR="00D92E3F" w:rsidRPr="00A66326" w:rsidRDefault="00D92E3F" w:rsidP="00D92E3F">
      <w:pPr>
        <w:rPr>
          <w:sz w:val="28"/>
        </w:rPr>
      </w:pPr>
      <w:r>
        <w:rPr>
          <w:b/>
          <w:sz w:val="28"/>
        </w:rPr>
        <w:t>Head of Procurement</w:t>
      </w:r>
      <w:r w:rsidRPr="00A66326">
        <w:rPr>
          <w:b/>
          <w:sz w:val="28"/>
        </w:rPr>
        <w:t xml:space="preserve">:  </w:t>
      </w:r>
      <w:r>
        <w:rPr>
          <w:b/>
          <w:sz w:val="28"/>
        </w:rPr>
        <w:t>Nimesh Mehta</w:t>
      </w:r>
    </w:p>
    <w:p w14:paraId="562C6A54" w14:textId="529C9BA9" w:rsidR="00D92E3F" w:rsidRPr="00A66326" w:rsidRDefault="00D92E3F" w:rsidP="00D92E3F">
      <w:r w:rsidRPr="00A66326">
        <w:t xml:space="preserve">Signed by the </w:t>
      </w:r>
      <w:r>
        <w:t>Head of Procurement</w:t>
      </w:r>
    </w:p>
    <w:p w14:paraId="721D6F28" w14:textId="5F78466E" w:rsidR="00D92E3F" w:rsidRPr="003313EA" w:rsidRDefault="00D92E3F" w:rsidP="00D92E3F">
      <w:pPr>
        <w:spacing w:after="480"/>
        <w:rPr>
          <w:sz w:val="28"/>
        </w:rPr>
      </w:pPr>
      <w:r w:rsidRPr="00A66326">
        <w:rPr>
          <w:b/>
          <w:sz w:val="28"/>
        </w:rPr>
        <w:t xml:space="preserve">Date:  </w:t>
      </w:r>
      <w:r>
        <w:rPr>
          <w:b/>
          <w:sz w:val="28"/>
        </w:rPr>
        <w:t>03/10/22</w:t>
      </w:r>
    </w:p>
    <w:p w14:paraId="6E3E57A7" w14:textId="4F6DB4DE" w:rsidR="00D92E3F" w:rsidRPr="00A66326" w:rsidRDefault="00D92E3F" w:rsidP="00D92E3F">
      <w:pPr>
        <w:rPr>
          <w:sz w:val="28"/>
        </w:rPr>
      </w:pPr>
      <w:r>
        <w:rPr>
          <w:b/>
          <w:sz w:val="28"/>
        </w:rPr>
        <w:t>Head of Internal Audit</w:t>
      </w:r>
      <w:r w:rsidRPr="00A66326">
        <w:rPr>
          <w:b/>
          <w:sz w:val="28"/>
        </w:rPr>
        <w:t xml:space="preserve">:  </w:t>
      </w:r>
      <w:r>
        <w:rPr>
          <w:b/>
          <w:sz w:val="28"/>
        </w:rPr>
        <w:t>Susan Dixson</w:t>
      </w:r>
    </w:p>
    <w:p w14:paraId="68B580E6" w14:textId="65A7839A" w:rsidR="00D92E3F" w:rsidRPr="00A66326" w:rsidRDefault="00D92E3F" w:rsidP="00D92E3F">
      <w:r w:rsidRPr="00A66326">
        <w:t xml:space="preserve">Signed by the </w:t>
      </w:r>
      <w:r>
        <w:t>Head of Internal Audit</w:t>
      </w:r>
    </w:p>
    <w:p w14:paraId="6A192DA0" w14:textId="51CA59D6" w:rsidR="00D92E3F" w:rsidRPr="00D92E3F" w:rsidRDefault="00D92E3F" w:rsidP="00D92E3F">
      <w:pPr>
        <w:pStyle w:val="Heading2"/>
        <w:spacing w:after="240"/>
        <w:rPr>
          <w:rFonts w:ascii="Arial" w:hAnsi="Arial" w:cs="Times New Roman"/>
          <w:bCs w:val="0"/>
          <w:sz w:val="28"/>
          <w:szCs w:val="20"/>
        </w:rPr>
      </w:pPr>
      <w:r w:rsidRPr="00D92E3F">
        <w:rPr>
          <w:rFonts w:ascii="Arial" w:hAnsi="Arial" w:cs="Times New Roman"/>
          <w:bCs w:val="0"/>
          <w:sz w:val="28"/>
          <w:szCs w:val="20"/>
        </w:rPr>
        <w:t>Date: 03/10/22</w:t>
      </w:r>
    </w:p>
    <w:p w14:paraId="15070C58" w14:textId="77777777" w:rsidR="00A154F0" w:rsidRDefault="00A154F0" w:rsidP="00D92E3F">
      <w:pPr>
        <w:pStyle w:val="Heading3"/>
        <w:spacing w:before="240"/>
      </w:pPr>
    </w:p>
    <w:p w14:paraId="0F1EF4C3" w14:textId="10F7FF3A" w:rsidR="00D92E3F" w:rsidRPr="00202D79" w:rsidRDefault="00D92E3F" w:rsidP="00D92E3F">
      <w:pPr>
        <w:pStyle w:val="Heading3"/>
        <w:spacing w:before="240"/>
        <w:rPr>
          <w:b w:val="0"/>
        </w:rPr>
      </w:pPr>
      <w:proofErr w:type="spellStart"/>
      <w:r w:rsidRPr="00202D79">
        <w:t>EqIA</w:t>
      </w:r>
      <w:proofErr w:type="spellEnd"/>
      <w:r w:rsidRPr="00202D79">
        <w:t xml:space="preserve"> carried out:</w:t>
      </w:r>
      <w:r>
        <w:t xml:space="preserve">  </w:t>
      </w:r>
      <w:r w:rsidRPr="00202D79">
        <w:t>NO</w:t>
      </w:r>
    </w:p>
    <w:p w14:paraId="09FF2E81" w14:textId="11A050A9" w:rsidR="00D92E3F" w:rsidRPr="005808FB" w:rsidRDefault="00D92E3F" w:rsidP="00D92E3F">
      <w:pPr>
        <w:pStyle w:val="Infotext"/>
        <w:spacing w:after="240"/>
        <w:rPr>
          <w:color w:val="FF0000"/>
        </w:rPr>
      </w:pPr>
      <w:r w:rsidRPr="004E47FC">
        <w:rPr>
          <w:b/>
        </w:rPr>
        <w:t xml:space="preserve">Contact:  </w:t>
      </w:r>
      <w:r w:rsidRPr="00D92E3F">
        <w:t xml:space="preserve">Jessica Farmer, Head of Legal Practice, </w:t>
      </w:r>
      <w:hyperlink r:id="rId13" w:history="1">
        <w:r w:rsidRPr="00537CF7">
          <w:rPr>
            <w:rStyle w:val="Hyperlink"/>
          </w:rPr>
          <w:t>Jessica.Farmer@harrow.gov.uk</w:t>
        </w:r>
      </w:hyperlink>
      <w:r>
        <w:rPr>
          <w:color w:val="FF0000"/>
        </w:rPr>
        <w:t xml:space="preserve"> </w:t>
      </w:r>
    </w:p>
    <w:p w14:paraId="2DF9BDFF" w14:textId="4B951C3A" w:rsidR="00B5655E" w:rsidRDefault="00D92E3F" w:rsidP="00D92E3F">
      <w:pPr>
        <w:pStyle w:val="Infotext"/>
        <w:spacing w:before="480"/>
      </w:pPr>
      <w:r>
        <w:rPr>
          <w:rFonts w:ascii="Arial Black" w:hAnsi="Arial Black"/>
        </w:rPr>
        <w:t>Call-in w</w:t>
      </w:r>
      <w:r w:rsidRPr="007C0DC3">
        <w:rPr>
          <w:rFonts w:ascii="Arial Black" w:hAnsi="Arial Black"/>
        </w:rPr>
        <w:t>aived by the Chair of Overview and Scrutiny Committee</w:t>
      </w:r>
      <w:r>
        <w:rPr>
          <w:rFonts w:ascii="Arial Black" w:hAnsi="Arial Black"/>
        </w:rPr>
        <w:t xml:space="preserve"> - </w:t>
      </w:r>
      <w:r w:rsidRPr="003D78F6">
        <w:rPr>
          <w:b/>
        </w:rPr>
        <w:t xml:space="preserve">NO </w:t>
      </w:r>
    </w:p>
    <w:sectPr w:rsidR="00B5655E" w:rsidSect="00E45B05">
      <w:headerReference w:type="default" r:id="rId14"/>
      <w:headerReference w:type="first" r:id="rId15"/>
      <w:footerReference w:type="first" r:id="rId16"/>
      <w:pgSz w:w="11909" w:h="16834" w:code="9"/>
      <w:pgMar w:top="720" w:right="1419"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4FD7E" w14:textId="77777777" w:rsidR="0022525D" w:rsidRDefault="0022525D">
      <w:r>
        <w:separator/>
      </w:r>
    </w:p>
  </w:endnote>
  <w:endnote w:type="continuationSeparator" w:id="0">
    <w:p w14:paraId="5F12891A" w14:textId="77777777" w:rsidR="0022525D" w:rsidRDefault="0022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1DC24" w14:textId="77777777" w:rsidR="0022525D" w:rsidRDefault="0022525D">
      <w:r>
        <w:separator/>
      </w:r>
    </w:p>
  </w:footnote>
  <w:footnote w:type="continuationSeparator" w:id="0">
    <w:p w14:paraId="2D9E7A94" w14:textId="77777777" w:rsidR="0022525D" w:rsidRDefault="00225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59A"/>
    <w:multiLevelType w:val="hybridMultilevel"/>
    <w:tmpl w:val="2452BFAC"/>
    <w:lvl w:ilvl="0" w:tplc="B9706C76">
      <w:start w:val="1"/>
      <w:numFmt w:val="decimal"/>
      <w:lvlText w:val="%1."/>
      <w:lvlJc w:val="left"/>
      <w:pPr>
        <w:ind w:left="720" w:hanging="360"/>
      </w:pPr>
    </w:lvl>
    <w:lvl w:ilvl="1" w:tplc="8D94F6F8">
      <w:start w:val="1"/>
      <w:numFmt w:val="lowerLetter"/>
      <w:lvlText w:val="%2."/>
      <w:lvlJc w:val="left"/>
      <w:pPr>
        <w:ind w:left="1440" w:hanging="360"/>
      </w:pPr>
    </w:lvl>
    <w:lvl w:ilvl="2" w:tplc="21DA0BB6">
      <w:start w:val="1"/>
      <w:numFmt w:val="lowerRoman"/>
      <w:lvlText w:val="%3."/>
      <w:lvlJc w:val="right"/>
      <w:pPr>
        <w:ind w:left="2160" w:hanging="180"/>
      </w:pPr>
    </w:lvl>
    <w:lvl w:ilvl="3" w:tplc="CB66A598">
      <w:start w:val="1"/>
      <w:numFmt w:val="decimal"/>
      <w:lvlText w:val="%4."/>
      <w:lvlJc w:val="left"/>
      <w:pPr>
        <w:ind w:left="2880" w:hanging="360"/>
      </w:pPr>
    </w:lvl>
    <w:lvl w:ilvl="4" w:tplc="2978450C">
      <w:start w:val="1"/>
      <w:numFmt w:val="lowerLetter"/>
      <w:lvlText w:val="%5."/>
      <w:lvlJc w:val="left"/>
      <w:pPr>
        <w:ind w:left="3600" w:hanging="360"/>
      </w:pPr>
    </w:lvl>
    <w:lvl w:ilvl="5" w:tplc="6E5634CE">
      <w:start w:val="1"/>
      <w:numFmt w:val="lowerRoman"/>
      <w:lvlText w:val="%6."/>
      <w:lvlJc w:val="right"/>
      <w:pPr>
        <w:ind w:left="4320" w:hanging="180"/>
      </w:pPr>
    </w:lvl>
    <w:lvl w:ilvl="6" w:tplc="3B7ED122">
      <w:start w:val="1"/>
      <w:numFmt w:val="decimal"/>
      <w:lvlText w:val="%7."/>
      <w:lvlJc w:val="left"/>
      <w:pPr>
        <w:ind w:left="5040" w:hanging="360"/>
      </w:pPr>
    </w:lvl>
    <w:lvl w:ilvl="7" w:tplc="C68C9D68">
      <w:start w:val="1"/>
      <w:numFmt w:val="lowerLetter"/>
      <w:lvlText w:val="%8."/>
      <w:lvlJc w:val="left"/>
      <w:pPr>
        <w:ind w:left="5760" w:hanging="360"/>
      </w:pPr>
    </w:lvl>
    <w:lvl w:ilvl="8" w:tplc="49B2C7B8">
      <w:start w:val="1"/>
      <w:numFmt w:val="lowerRoman"/>
      <w:lvlText w:val="%9."/>
      <w:lvlJc w:val="right"/>
      <w:pPr>
        <w:ind w:left="6480" w:hanging="180"/>
      </w:pPr>
    </w:lvl>
  </w:abstractNum>
  <w:abstractNum w:abstractNumId="1" w15:restartNumberingAfterBreak="0">
    <w:nsid w:val="1245C93F"/>
    <w:multiLevelType w:val="hybridMultilevel"/>
    <w:tmpl w:val="92041A58"/>
    <w:lvl w:ilvl="0" w:tplc="15CCAFCA">
      <w:start w:val="1"/>
      <w:numFmt w:val="decimal"/>
      <w:lvlText w:val="%1."/>
      <w:lvlJc w:val="left"/>
      <w:pPr>
        <w:ind w:left="720" w:hanging="360"/>
      </w:pPr>
    </w:lvl>
    <w:lvl w:ilvl="1" w:tplc="7CA89E86">
      <w:start w:val="1"/>
      <w:numFmt w:val="lowerLetter"/>
      <w:lvlText w:val="%2."/>
      <w:lvlJc w:val="left"/>
      <w:pPr>
        <w:ind w:left="1440" w:hanging="360"/>
      </w:pPr>
    </w:lvl>
    <w:lvl w:ilvl="2" w:tplc="EEFA7F10">
      <w:start w:val="1"/>
      <w:numFmt w:val="lowerRoman"/>
      <w:lvlText w:val="%3."/>
      <w:lvlJc w:val="right"/>
      <w:pPr>
        <w:ind w:left="2160" w:hanging="180"/>
      </w:pPr>
    </w:lvl>
    <w:lvl w:ilvl="3" w:tplc="034CC898">
      <w:start w:val="1"/>
      <w:numFmt w:val="decimal"/>
      <w:lvlText w:val="%4."/>
      <w:lvlJc w:val="left"/>
      <w:pPr>
        <w:ind w:left="2880" w:hanging="360"/>
      </w:pPr>
    </w:lvl>
    <w:lvl w:ilvl="4" w:tplc="ED50D276">
      <w:start w:val="1"/>
      <w:numFmt w:val="lowerLetter"/>
      <w:lvlText w:val="%5."/>
      <w:lvlJc w:val="left"/>
      <w:pPr>
        <w:ind w:left="3600" w:hanging="360"/>
      </w:pPr>
    </w:lvl>
    <w:lvl w:ilvl="5" w:tplc="6F62899A">
      <w:start w:val="1"/>
      <w:numFmt w:val="lowerRoman"/>
      <w:lvlText w:val="%6."/>
      <w:lvlJc w:val="right"/>
      <w:pPr>
        <w:ind w:left="4320" w:hanging="180"/>
      </w:pPr>
    </w:lvl>
    <w:lvl w:ilvl="6" w:tplc="6BFE5C42">
      <w:start w:val="1"/>
      <w:numFmt w:val="decimal"/>
      <w:lvlText w:val="%7."/>
      <w:lvlJc w:val="left"/>
      <w:pPr>
        <w:ind w:left="5040" w:hanging="360"/>
      </w:pPr>
    </w:lvl>
    <w:lvl w:ilvl="7" w:tplc="E30CC86C">
      <w:start w:val="1"/>
      <w:numFmt w:val="lowerLetter"/>
      <w:lvlText w:val="%8."/>
      <w:lvlJc w:val="left"/>
      <w:pPr>
        <w:ind w:left="5760" w:hanging="360"/>
      </w:pPr>
    </w:lvl>
    <w:lvl w:ilvl="8" w:tplc="6CA215BC">
      <w:start w:val="1"/>
      <w:numFmt w:val="lowerRoman"/>
      <w:lvlText w:val="%9."/>
      <w:lvlJc w:val="right"/>
      <w:pPr>
        <w:ind w:left="6480" w:hanging="180"/>
      </w:pPr>
    </w:lvl>
  </w:abstractNum>
  <w:abstractNum w:abstractNumId="2" w15:restartNumberingAfterBreak="0">
    <w:nsid w:val="13DE3B17"/>
    <w:multiLevelType w:val="hybridMultilevel"/>
    <w:tmpl w:val="86D03E06"/>
    <w:lvl w:ilvl="0" w:tplc="F968BB5E">
      <w:start w:val="1"/>
      <w:numFmt w:val="decimal"/>
      <w:lvlText w:val="%1."/>
      <w:lvlJc w:val="left"/>
      <w:pPr>
        <w:ind w:left="720" w:hanging="360"/>
      </w:pPr>
    </w:lvl>
    <w:lvl w:ilvl="1" w:tplc="95FA277E">
      <w:start w:val="1"/>
      <w:numFmt w:val="lowerLetter"/>
      <w:lvlText w:val="%2."/>
      <w:lvlJc w:val="left"/>
      <w:pPr>
        <w:ind w:left="1440" w:hanging="360"/>
      </w:pPr>
    </w:lvl>
    <w:lvl w:ilvl="2" w:tplc="852C8F18">
      <w:start w:val="1"/>
      <w:numFmt w:val="lowerRoman"/>
      <w:lvlText w:val="%3."/>
      <w:lvlJc w:val="right"/>
      <w:pPr>
        <w:ind w:left="2160" w:hanging="180"/>
      </w:pPr>
    </w:lvl>
    <w:lvl w:ilvl="3" w:tplc="2550C338">
      <w:start w:val="1"/>
      <w:numFmt w:val="decimal"/>
      <w:lvlText w:val="%4."/>
      <w:lvlJc w:val="left"/>
      <w:pPr>
        <w:ind w:left="2880" w:hanging="360"/>
      </w:pPr>
    </w:lvl>
    <w:lvl w:ilvl="4" w:tplc="C6E4AD9E">
      <w:start w:val="1"/>
      <w:numFmt w:val="lowerLetter"/>
      <w:lvlText w:val="%5."/>
      <w:lvlJc w:val="left"/>
      <w:pPr>
        <w:ind w:left="3600" w:hanging="360"/>
      </w:pPr>
    </w:lvl>
    <w:lvl w:ilvl="5" w:tplc="F7B8EAEC">
      <w:start w:val="1"/>
      <w:numFmt w:val="lowerRoman"/>
      <w:lvlText w:val="%6."/>
      <w:lvlJc w:val="right"/>
      <w:pPr>
        <w:ind w:left="4320" w:hanging="180"/>
      </w:pPr>
    </w:lvl>
    <w:lvl w:ilvl="6" w:tplc="090C71CA">
      <w:start w:val="1"/>
      <w:numFmt w:val="decimal"/>
      <w:lvlText w:val="%7."/>
      <w:lvlJc w:val="left"/>
      <w:pPr>
        <w:ind w:left="5040" w:hanging="360"/>
      </w:pPr>
    </w:lvl>
    <w:lvl w:ilvl="7" w:tplc="F47E1B0A">
      <w:start w:val="1"/>
      <w:numFmt w:val="lowerLetter"/>
      <w:lvlText w:val="%8."/>
      <w:lvlJc w:val="left"/>
      <w:pPr>
        <w:ind w:left="5760" w:hanging="360"/>
      </w:pPr>
    </w:lvl>
    <w:lvl w:ilvl="8" w:tplc="BB566AFC">
      <w:start w:val="1"/>
      <w:numFmt w:val="lowerRoman"/>
      <w:lvlText w:val="%9."/>
      <w:lvlJc w:val="right"/>
      <w:pPr>
        <w:ind w:left="6480" w:hanging="180"/>
      </w:pPr>
    </w:lvl>
  </w:abstractNum>
  <w:abstractNum w:abstractNumId="3"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5F30A44"/>
    <w:multiLevelType w:val="hybridMultilevel"/>
    <w:tmpl w:val="1022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315596"/>
    <w:multiLevelType w:val="multilevel"/>
    <w:tmpl w:val="4B929B2C"/>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6A3F85"/>
    <w:multiLevelType w:val="hybridMultilevel"/>
    <w:tmpl w:val="1466C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8E014E"/>
    <w:multiLevelType w:val="hybridMultilevel"/>
    <w:tmpl w:val="764A8408"/>
    <w:lvl w:ilvl="0" w:tplc="99283BF2">
      <w:start w:val="1"/>
      <w:numFmt w:val="decimal"/>
      <w:lvlText w:val="%1."/>
      <w:lvlJc w:val="left"/>
      <w:pPr>
        <w:ind w:left="720" w:hanging="360"/>
      </w:pPr>
    </w:lvl>
    <w:lvl w:ilvl="1" w:tplc="2A7C2074">
      <w:start w:val="1"/>
      <w:numFmt w:val="lowerLetter"/>
      <w:lvlText w:val="%2."/>
      <w:lvlJc w:val="left"/>
      <w:pPr>
        <w:ind w:left="1440" w:hanging="360"/>
      </w:pPr>
    </w:lvl>
    <w:lvl w:ilvl="2" w:tplc="522835E6">
      <w:start w:val="1"/>
      <w:numFmt w:val="lowerRoman"/>
      <w:lvlText w:val="%3."/>
      <w:lvlJc w:val="right"/>
      <w:pPr>
        <w:ind w:left="2160" w:hanging="180"/>
      </w:pPr>
    </w:lvl>
    <w:lvl w:ilvl="3" w:tplc="3AD8D34C">
      <w:start w:val="1"/>
      <w:numFmt w:val="decimal"/>
      <w:lvlText w:val="%4."/>
      <w:lvlJc w:val="left"/>
      <w:pPr>
        <w:ind w:left="2880" w:hanging="360"/>
      </w:pPr>
    </w:lvl>
    <w:lvl w:ilvl="4" w:tplc="9CCA8E88">
      <w:start w:val="1"/>
      <w:numFmt w:val="lowerLetter"/>
      <w:lvlText w:val="%5."/>
      <w:lvlJc w:val="left"/>
      <w:pPr>
        <w:ind w:left="3600" w:hanging="360"/>
      </w:pPr>
    </w:lvl>
    <w:lvl w:ilvl="5" w:tplc="77741BD4">
      <w:start w:val="1"/>
      <w:numFmt w:val="lowerRoman"/>
      <w:lvlText w:val="%6."/>
      <w:lvlJc w:val="right"/>
      <w:pPr>
        <w:ind w:left="4320" w:hanging="180"/>
      </w:pPr>
    </w:lvl>
    <w:lvl w:ilvl="6" w:tplc="EB6E722E">
      <w:start w:val="1"/>
      <w:numFmt w:val="decimal"/>
      <w:lvlText w:val="%7."/>
      <w:lvlJc w:val="left"/>
      <w:pPr>
        <w:ind w:left="5040" w:hanging="360"/>
      </w:pPr>
    </w:lvl>
    <w:lvl w:ilvl="7" w:tplc="ADC8653A">
      <w:start w:val="1"/>
      <w:numFmt w:val="lowerLetter"/>
      <w:lvlText w:val="%8."/>
      <w:lvlJc w:val="left"/>
      <w:pPr>
        <w:ind w:left="5760" w:hanging="360"/>
      </w:pPr>
    </w:lvl>
    <w:lvl w:ilvl="8" w:tplc="DC80BB72">
      <w:start w:val="1"/>
      <w:numFmt w:val="lowerRoman"/>
      <w:lvlText w:val="%9."/>
      <w:lvlJc w:val="right"/>
      <w:pPr>
        <w:ind w:left="6480" w:hanging="180"/>
      </w:pPr>
    </w:lvl>
  </w:abstractNum>
  <w:abstractNum w:abstractNumId="8" w15:restartNumberingAfterBreak="0">
    <w:nsid w:val="394EF024"/>
    <w:multiLevelType w:val="hybridMultilevel"/>
    <w:tmpl w:val="D4D47728"/>
    <w:lvl w:ilvl="0" w:tplc="C9D8D634">
      <w:start w:val="1"/>
      <w:numFmt w:val="decimal"/>
      <w:lvlText w:val="%1."/>
      <w:lvlJc w:val="left"/>
      <w:pPr>
        <w:ind w:left="720" w:hanging="360"/>
      </w:pPr>
    </w:lvl>
    <w:lvl w:ilvl="1" w:tplc="2CC4BCEE">
      <w:start w:val="1"/>
      <w:numFmt w:val="lowerLetter"/>
      <w:lvlText w:val="%2."/>
      <w:lvlJc w:val="left"/>
      <w:pPr>
        <w:ind w:left="1440" w:hanging="360"/>
      </w:pPr>
    </w:lvl>
    <w:lvl w:ilvl="2" w:tplc="ACCA58F2">
      <w:start w:val="1"/>
      <w:numFmt w:val="lowerRoman"/>
      <w:lvlText w:val="%3."/>
      <w:lvlJc w:val="right"/>
      <w:pPr>
        <w:ind w:left="2160" w:hanging="180"/>
      </w:pPr>
    </w:lvl>
    <w:lvl w:ilvl="3" w:tplc="AE2E87E0">
      <w:start w:val="1"/>
      <w:numFmt w:val="decimal"/>
      <w:lvlText w:val="%4."/>
      <w:lvlJc w:val="left"/>
      <w:pPr>
        <w:ind w:left="2880" w:hanging="360"/>
      </w:pPr>
    </w:lvl>
    <w:lvl w:ilvl="4" w:tplc="3AC0308A">
      <w:start w:val="1"/>
      <w:numFmt w:val="lowerLetter"/>
      <w:lvlText w:val="%5."/>
      <w:lvlJc w:val="left"/>
      <w:pPr>
        <w:ind w:left="3600" w:hanging="360"/>
      </w:pPr>
    </w:lvl>
    <w:lvl w:ilvl="5" w:tplc="821CE834">
      <w:start w:val="1"/>
      <w:numFmt w:val="lowerRoman"/>
      <w:lvlText w:val="%6."/>
      <w:lvlJc w:val="right"/>
      <w:pPr>
        <w:ind w:left="4320" w:hanging="180"/>
      </w:pPr>
    </w:lvl>
    <w:lvl w:ilvl="6" w:tplc="B21A2E34">
      <w:start w:val="1"/>
      <w:numFmt w:val="decimal"/>
      <w:lvlText w:val="%7."/>
      <w:lvlJc w:val="left"/>
      <w:pPr>
        <w:ind w:left="5040" w:hanging="360"/>
      </w:pPr>
    </w:lvl>
    <w:lvl w:ilvl="7" w:tplc="F7AAEF2A">
      <w:start w:val="1"/>
      <w:numFmt w:val="lowerLetter"/>
      <w:lvlText w:val="%8."/>
      <w:lvlJc w:val="left"/>
      <w:pPr>
        <w:ind w:left="5760" w:hanging="360"/>
      </w:pPr>
    </w:lvl>
    <w:lvl w:ilvl="8" w:tplc="C54ECB2E">
      <w:start w:val="1"/>
      <w:numFmt w:val="lowerRoman"/>
      <w:lvlText w:val="%9."/>
      <w:lvlJc w:val="right"/>
      <w:pPr>
        <w:ind w:left="6480" w:hanging="180"/>
      </w:pPr>
    </w:lvl>
  </w:abstractNum>
  <w:abstractNum w:abstractNumId="9" w15:restartNumberingAfterBreak="0">
    <w:nsid w:val="3B380136"/>
    <w:multiLevelType w:val="hybridMultilevel"/>
    <w:tmpl w:val="5568E85E"/>
    <w:lvl w:ilvl="0" w:tplc="65A6F1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1E0898"/>
    <w:multiLevelType w:val="hybridMultilevel"/>
    <w:tmpl w:val="AE125CDC"/>
    <w:lvl w:ilvl="0" w:tplc="B98255C8">
      <w:start w:val="1"/>
      <w:numFmt w:val="bullet"/>
      <w:lvlText w:val="•"/>
      <w:lvlJc w:val="left"/>
      <w:pPr>
        <w:tabs>
          <w:tab w:val="num" w:pos="720"/>
        </w:tabs>
        <w:ind w:left="720" w:hanging="360"/>
      </w:pPr>
      <w:rPr>
        <w:rFonts w:ascii="Arial" w:hAnsi="Arial" w:hint="default"/>
      </w:rPr>
    </w:lvl>
    <w:lvl w:ilvl="1" w:tplc="508A52B2" w:tentative="1">
      <w:start w:val="1"/>
      <w:numFmt w:val="bullet"/>
      <w:lvlText w:val="•"/>
      <w:lvlJc w:val="left"/>
      <w:pPr>
        <w:tabs>
          <w:tab w:val="num" w:pos="1440"/>
        </w:tabs>
        <w:ind w:left="1440" w:hanging="360"/>
      </w:pPr>
      <w:rPr>
        <w:rFonts w:ascii="Arial" w:hAnsi="Arial" w:hint="default"/>
      </w:rPr>
    </w:lvl>
    <w:lvl w:ilvl="2" w:tplc="E8F6B1B8" w:tentative="1">
      <w:start w:val="1"/>
      <w:numFmt w:val="bullet"/>
      <w:lvlText w:val="•"/>
      <w:lvlJc w:val="left"/>
      <w:pPr>
        <w:tabs>
          <w:tab w:val="num" w:pos="2160"/>
        </w:tabs>
        <w:ind w:left="2160" w:hanging="360"/>
      </w:pPr>
      <w:rPr>
        <w:rFonts w:ascii="Arial" w:hAnsi="Arial" w:hint="default"/>
      </w:rPr>
    </w:lvl>
    <w:lvl w:ilvl="3" w:tplc="595A4016" w:tentative="1">
      <w:start w:val="1"/>
      <w:numFmt w:val="bullet"/>
      <w:lvlText w:val="•"/>
      <w:lvlJc w:val="left"/>
      <w:pPr>
        <w:tabs>
          <w:tab w:val="num" w:pos="2880"/>
        </w:tabs>
        <w:ind w:left="2880" w:hanging="360"/>
      </w:pPr>
      <w:rPr>
        <w:rFonts w:ascii="Arial" w:hAnsi="Arial" w:hint="default"/>
      </w:rPr>
    </w:lvl>
    <w:lvl w:ilvl="4" w:tplc="0BAAC4D6" w:tentative="1">
      <w:start w:val="1"/>
      <w:numFmt w:val="bullet"/>
      <w:lvlText w:val="•"/>
      <w:lvlJc w:val="left"/>
      <w:pPr>
        <w:tabs>
          <w:tab w:val="num" w:pos="3600"/>
        </w:tabs>
        <w:ind w:left="3600" w:hanging="360"/>
      </w:pPr>
      <w:rPr>
        <w:rFonts w:ascii="Arial" w:hAnsi="Arial" w:hint="default"/>
      </w:rPr>
    </w:lvl>
    <w:lvl w:ilvl="5" w:tplc="FBFEDF40" w:tentative="1">
      <w:start w:val="1"/>
      <w:numFmt w:val="bullet"/>
      <w:lvlText w:val="•"/>
      <w:lvlJc w:val="left"/>
      <w:pPr>
        <w:tabs>
          <w:tab w:val="num" w:pos="4320"/>
        </w:tabs>
        <w:ind w:left="4320" w:hanging="360"/>
      </w:pPr>
      <w:rPr>
        <w:rFonts w:ascii="Arial" w:hAnsi="Arial" w:hint="default"/>
      </w:rPr>
    </w:lvl>
    <w:lvl w:ilvl="6" w:tplc="5510A836" w:tentative="1">
      <w:start w:val="1"/>
      <w:numFmt w:val="bullet"/>
      <w:lvlText w:val="•"/>
      <w:lvlJc w:val="left"/>
      <w:pPr>
        <w:tabs>
          <w:tab w:val="num" w:pos="5040"/>
        </w:tabs>
        <w:ind w:left="5040" w:hanging="360"/>
      </w:pPr>
      <w:rPr>
        <w:rFonts w:ascii="Arial" w:hAnsi="Arial" w:hint="default"/>
      </w:rPr>
    </w:lvl>
    <w:lvl w:ilvl="7" w:tplc="D4CE7BBC" w:tentative="1">
      <w:start w:val="1"/>
      <w:numFmt w:val="bullet"/>
      <w:lvlText w:val="•"/>
      <w:lvlJc w:val="left"/>
      <w:pPr>
        <w:tabs>
          <w:tab w:val="num" w:pos="5760"/>
        </w:tabs>
        <w:ind w:left="5760" w:hanging="360"/>
      </w:pPr>
      <w:rPr>
        <w:rFonts w:ascii="Arial" w:hAnsi="Arial" w:hint="default"/>
      </w:rPr>
    </w:lvl>
    <w:lvl w:ilvl="8" w:tplc="71403BC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D75A83"/>
    <w:multiLevelType w:val="hybridMultilevel"/>
    <w:tmpl w:val="282C6F90"/>
    <w:lvl w:ilvl="0" w:tplc="06E49332">
      <w:start w:val="1"/>
      <w:numFmt w:val="bullet"/>
      <w:lvlText w:val=""/>
      <w:lvlJc w:val="left"/>
      <w:pPr>
        <w:ind w:left="1440" w:hanging="360"/>
      </w:pPr>
      <w:rPr>
        <w:rFonts w:ascii="Symbol" w:hAnsi="Symbol" w:hint="default"/>
      </w:rPr>
    </w:lvl>
    <w:lvl w:ilvl="1" w:tplc="8F6CC062" w:tentative="1">
      <w:start w:val="1"/>
      <w:numFmt w:val="bullet"/>
      <w:lvlText w:val="o"/>
      <w:lvlJc w:val="left"/>
      <w:pPr>
        <w:ind w:left="2160" w:hanging="360"/>
      </w:pPr>
      <w:rPr>
        <w:rFonts w:ascii="Courier New" w:hAnsi="Courier New" w:hint="default"/>
      </w:rPr>
    </w:lvl>
    <w:lvl w:ilvl="2" w:tplc="1C86A770" w:tentative="1">
      <w:start w:val="1"/>
      <w:numFmt w:val="bullet"/>
      <w:lvlText w:val=""/>
      <w:lvlJc w:val="left"/>
      <w:pPr>
        <w:ind w:left="2880" w:hanging="360"/>
      </w:pPr>
      <w:rPr>
        <w:rFonts w:ascii="Wingdings" w:hAnsi="Wingdings" w:hint="default"/>
      </w:rPr>
    </w:lvl>
    <w:lvl w:ilvl="3" w:tplc="F500B75E" w:tentative="1">
      <w:start w:val="1"/>
      <w:numFmt w:val="bullet"/>
      <w:lvlText w:val=""/>
      <w:lvlJc w:val="left"/>
      <w:pPr>
        <w:ind w:left="3600" w:hanging="360"/>
      </w:pPr>
      <w:rPr>
        <w:rFonts w:ascii="Symbol" w:hAnsi="Symbol" w:hint="default"/>
      </w:rPr>
    </w:lvl>
    <w:lvl w:ilvl="4" w:tplc="362470FC" w:tentative="1">
      <w:start w:val="1"/>
      <w:numFmt w:val="bullet"/>
      <w:lvlText w:val="o"/>
      <w:lvlJc w:val="left"/>
      <w:pPr>
        <w:ind w:left="4320" w:hanging="360"/>
      </w:pPr>
      <w:rPr>
        <w:rFonts w:ascii="Courier New" w:hAnsi="Courier New" w:hint="default"/>
      </w:rPr>
    </w:lvl>
    <w:lvl w:ilvl="5" w:tplc="FC7EF776" w:tentative="1">
      <w:start w:val="1"/>
      <w:numFmt w:val="bullet"/>
      <w:lvlText w:val=""/>
      <w:lvlJc w:val="left"/>
      <w:pPr>
        <w:ind w:left="5040" w:hanging="360"/>
      </w:pPr>
      <w:rPr>
        <w:rFonts w:ascii="Wingdings" w:hAnsi="Wingdings" w:hint="default"/>
      </w:rPr>
    </w:lvl>
    <w:lvl w:ilvl="6" w:tplc="1534C2B8" w:tentative="1">
      <w:start w:val="1"/>
      <w:numFmt w:val="bullet"/>
      <w:lvlText w:val=""/>
      <w:lvlJc w:val="left"/>
      <w:pPr>
        <w:ind w:left="5760" w:hanging="360"/>
      </w:pPr>
      <w:rPr>
        <w:rFonts w:ascii="Symbol" w:hAnsi="Symbol" w:hint="default"/>
      </w:rPr>
    </w:lvl>
    <w:lvl w:ilvl="7" w:tplc="BD0285C8" w:tentative="1">
      <w:start w:val="1"/>
      <w:numFmt w:val="bullet"/>
      <w:lvlText w:val="o"/>
      <w:lvlJc w:val="left"/>
      <w:pPr>
        <w:ind w:left="6480" w:hanging="360"/>
      </w:pPr>
      <w:rPr>
        <w:rFonts w:ascii="Courier New" w:hAnsi="Courier New" w:hint="default"/>
      </w:rPr>
    </w:lvl>
    <w:lvl w:ilvl="8" w:tplc="BA528000" w:tentative="1">
      <w:start w:val="1"/>
      <w:numFmt w:val="bullet"/>
      <w:lvlText w:val=""/>
      <w:lvlJc w:val="left"/>
      <w:pPr>
        <w:ind w:left="7200" w:hanging="360"/>
      </w:pPr>
      <w:rPr>
        <w:rFonts w:ascii="Wingdings" w:hAnsi="Wingdings" w:hint="default"/>
      </w:rPr>
    </w:lvl>
  </w:abstractNum>
  <w:abstractNum w:abstractNumId="12"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FAA5359"/>
    <w:multiLevelType w:val="multilevel"/>
    <w:tmpl w:val="1D161D7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 w15:restartNumberingAfterBreak="0">
    <w:nsid w:val="603B09EE"/>
    <w:multiLevelType w:val="hybridMultilevel"/>
    <w:tmpl w:val="FCCCB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687059"/>
    <w:multiLevelType w:val="multilevel"/>
    <w:tmpl w:val="4B929B2C"/>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E463A17"/>
    <w:multiLevelType w:val="multilevel"/>
    <w:tmpl w:val="8F1E0B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933012"/>
    <w:multiLevelType w:val="multilevel"/>
    <w:tmpl w:val="1D161D7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15:restartNumberingAfterBreak="0">
    <w:nsid w:val="75DD9ECC"/>
    <w:multiLevelType w:val="hybridMultilevel"/>
    <w:tmpl w:val="3ADC521E"/>
    <w:lvl w:ilvl="0" w:tplc="E0303C40">
      <w:start w:val="1"/>
      <w:numFmt w:val="decimal"/>
      <w:lvlText w:val="%1."/>
      <w:lvlJc w:val="left"/>
      <w:pPr>
        <w:ind w:left="720" w:hanging="360"/>
      </w:pPr>
    </w:lvl>
    <w:lvl w:ilvl="1" w:tplc="D166B5AA">
      <w:start w:val="1"/>
      <w:numFmt w:val="lowerLetter"/>
      <w:lvlText w:val="%2."/>
      <w:lvlJc w:val="left"/>
      <w:pPr>
        <w:ind w:left="1440" w:hanging="360"/>
      </w:pPr>
    </w:lvl>
    <w:lvl w:ilvl="2" w:tplc="DDB2AA4E">
      <w:start w:val="1"/>
      <w:numFmt w:val="lowerRoman"/>
      <w:lvlText w:val="%3."/>
      <w:lvlJc w:val="right"/>
      <w:pPr>
        <w:ind w:left="2160" w:hanging="180"/>
      </w:pPr>
    </w:lvl>
    <w:lvl w:ilvl="3" w:tplc="15CC82B2">
      <w:start w:val="1"/>
      <w:numFmt w:val="decimal"/>
      <w:lvlText w:val="%4."/>
      <w:lvlJc w:val="left"/>
      <w:pPr>
        <w:ind w:left="2880" w:hanging="360"/>
      </w:pPr>
    </w:lvl>
    <w:lvl w:ilvl="4" w:tplc="4780826E">
      <w:start w:val="1"/>
      <w:numFmt w:val="lowerLetter"/>
      <w:lvlText w:val="%5."/>
      <w:lvlJc w:val="left"/>
      <w:pPr>
        <w:ind w:left="3600" w:hanging="360"/>
      </w:pPr>
    </w:lvl>
    <w:lvl w:ilvl="5" w:tplc="5030AFC6">
      <w:start w:val="1"/>
      <w:numFmt w:val="lowerRoman"/>
      <w:lvlText w:val="%6."/>
      <w:lvlJc w:val="right"/>
      <w:pPr>
        <w:ind w:left="4320" w:hanging="180"/>
      </w:pPr>
    </w:lvl>
    <w:lvl w:ilvl="6" w:tplc="E7788BDE">
      <w:start w:val="1"/>
      <w:numFmt w:val="decimal"/>
      <w:lvlText w:val="%7."/>
      <w:lvlJc w:val="left"/>
      <w:pPr>
        <w:ind w:left="5040" w:hanging="360"/>
      </w:pPr>
    </w:lvl>
    <w:lvl w:ilvl="7" w:tplc="45205626">
      <w:start w:val="1"/>
      <w:numFmt w:val="lowerLetter"/>
      <w:lvlText w:val="%8."/>
      <w:lvlJc w:val="left"/>
      <w:pPr>
        <w:ind w:left="5760" w:hanging="360"/>
      </w:pPr>
    </w:lvl>
    <w:lvl w:ilvl="8" w:tplc="5B1813A8">
      <w:start w:val="1"/>
      <w:numFmt w:val="lowerRoman"/>
      <w:lvlText w:val="%9."/>
      <w:lvlJc w:val="right"/>
      <w:pPr>
        <w:ind w:left="6480" w:hanging="180"/>
      </w:pPr>
    </w:lvl>
  </w:abstractNum>
  <w:num w:numId="1">
    <w:abstractNumId w:val="1"/>
  </w:num>
  <w:num w:numId="2">
    <w:abstractNumId w:val="17"/>
  </w:num>
  <w:num w:numId="3">
    <w:abstractNumId w:val="0"/>
  </w:num>
  <w:num w:numId="4">
    <w:abstractNumId w:val="2"/>
  </w:num>
  <w:num w:numId="5">
    <w:abstractNumId w:val="8"/>
  </w:num>
  <w:num w:numId="6">
    <w:abstractNumId w:val="18"/>
  </w:num>
  <w:num w:numId="7">
    <w:abstractNumId w:val="7"/>
  </w:num>
  <w:num w:numId="8">
    <w:abstractNumId w:val="3"/>
  </w:num>
  <w:num w:numId="9">
    <w:abstractNumId w:val="12"/>
  </w:num>
  <w:num w:numId="10">
    <w:abstractNumId w:val="5"/>
  </w:num>
  <w:num w:numId="11">
    <w:abstractNumId w:val="11"/>
  </w:num>
  <w:num w:numId="12">
    <w:abstractNumId w:val="15"/>
  </w:num>
  <w:num w:numId="13">
    <w:abstractNumId w:val="16"/>
  </w:num>
  <w:num w:numId="14">
    <w:abstractNumId w:val="14"/>
  </w:num>
  <w:num w:numId="15">
    <w:abstractNumId w:val="10"/>
  </w:num>
  <w:num w:numId="16">
    <w:abstractNumId w:val="9"/>
  </w:num>
  <w:num w:numId="17">
    <w:abstractNumId w:val="6"/>
  </w:num>
  <w:num w:numId="18">
    <w:abstractNumId w:val="4"/>
  </w:num>
  <w:num w:numId="1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17EF"/>
    <w:rsid w:val="00025089"/>
    <w:rsid w:val="000254D6"/>
    <w:rsid w:val="0004029A"/>
    <w:rsid w:val="000410D5"/>
    <w:rsid w:val="00041199"/>
    <w:rsid w:val="0004476B"/>
    <w:rsid w:val="000474E3"/>
    <w:rsid w:val="000566A5"/>
    <w:rsid w:val="0006034E"/>
    <w:rsid w:val="00063783"/>
    <w:rsid w:val="00073765"/>
    <w:rsid w:val="000825F0"/>
    <w:rsid w:val="00092463"/>
    <w:rsid w:val="000929A6"/>
    <w:rsid w:val="00095FA1"/>
    <w:rsid w:val="000A5216"/>
    <w:rsid w:val="000A7636"/>
    <w:rsid w:val="000B1B81"/>
    <w:rsid w:val="000B2A0F"/>
    <w:rsid w:val="000B5015"/>
    <w:rsid w:val="000B788F"/>
    <w:rsid w:val="000B7C66"/>
    <w:rsid w:val="000C1662"/>
    <w:rsid w:val="000D4E36"/>
    <w:rsid w:val="000D53E0"/>
    <w:rsid w:val="000E3619"/>
    <w:rsid w:val="000E4926"/>
    <w:rsid w:val="000E62FE"/>
    <w:rsid w:val="000F00F9"/>
    <w:rsid w:val="00105B8A"/>
    <w:rsid w:val="0011224B"/>
    <w:rsid w:val="001123F1"/>
    <w:rsid w:val="00115065"/>
    <w:rsid w:val="001161E4"/>
    <w:rsid w:val="00125A26"/>
    <w:rsid w:val="00132894"/>
    <w:rsid w:val="001472A8"/>
    <w:rsid w:val="001477C0"/>
    <w:rsid w:val="0015019C"/>
    <w:rsid w:val="00151F92"/>
    <w:rsid w:val="0015376F"/>
    <w:rsid w:val="0015611D"/>
    <w:rsid w:val="00156F57"/>
    <w:rsid w:val="001614E0"/>
    <w:rsid w:val="0016372B"/>
    <w:rsid w:val="001660C7"/>
    <w:rsid w:val="00171BD8"/>
    <w:rsid w:val="0017653E"/>
    <w:rsid w:val="00182B01"/>
    <w:rsid w:val="00182D8F"/>
    <w:rsid w:val="001840D2"/>
    <w:rsid w:val="00186900"/>
    <w:rsid w:val="001966D7"/>
    <w:rsid w:val="001B5640"/>
    <w:rsid w:val="001C0D57"/>
    <w:rsid w:val="001C4D2E"/>
    <w:rsid w:val="001C7E35"/>
    <w:rsid w:val="001D1F84"/>
    <w:rsid w:val="001D3ADD"/>
    <w:rsid w:val="001D4A54"/>
    <w:rsid w:val="001D77C4"/>
    <w:rsid w:val="001E319D"/>
    <w:rsid w:val="001E3C06"/>
    <w:rsid w:val="001E7F1E"/>
    <w:rsid w:val="001F0037"/>
    <w:rsid w:val="001F0BE9"/>
    <w:rsid w:val="001F3D29"/>
    <w:rsid w:val="00202D79"/>
    <w:rsid w:val="00204982"/>
    <w:rsid w:val="00205D2F"/>
    <w:rsid w:val="00207B44"/>
    <w:rsid w:val="00215E8F"/>
    <w:rsid w:val="0022162D"/>
    <w:rsid w:val="00221A93"/>
    <w:rsid w:val="00221AF6"/>
    <w:rsid w:val="002246D5"/>
    <w:rsid w:val="0022525D"/>
    <w:rsid w:val="002322BB"/>
    <w:rsid w:val="00242DB6"/>
    <w:rsid w:val="0024656F"/>
    <w:rsid w:val="00251254"/>
    <w:rsid w:val="0025345A"/>
    <w:rsid w:val="002548D1"/>
    <w:rsid w:val="00271132"/>
    <w:rsid w:val="0027283B"/>
    <w:rsid w:val="0028019B"/>
    <w:rsid w:val="002829CA"/>
    <w:rsid w:val="00282E3D"/>
    <w:rsid w:val="00282E73"/>
    <w:rsid w:val="002838E8"/>
    <w:rsid w:val="00283CAB"/>
    <w:rsid w:val="0028525A"/>
    <w:rsid w:val="00291410"/>
    <w:rsid w:val="00295691"/>
    <w:rsid w:val="002A00FB"/>
    <w:rsid w:val="002A3FEF"/>
    <w:rsid w:val="002A5D0F"/>
    <w:rsid w:val="002A6F64"/>
    <w:rsid w:val="002B2FCC"/>
    <w:rsid w:val="002B54A6"/>
    <w:rsid w:val="002E45A6"/>
    <w:rsid w:val="002F3EE9"/>
    <w:rsid w:val="002F7D76"/>
    <w:rsid w:val="00306F54"/>
    <w:rsid w:val="00307F76"/>
    <w:rsid w:val="00321FBB"/>
    <w:rsid w:val="00327412"/>
    <w:rsid w:val="003305A9"/>
    <w:rsid w:val="00330832"/>
    <w:rsid w:val="003313EA"/>
    <w:rsid w:val="003331A6"/>
    <w:rsid w:val="00333FAA"/>
    <w:rsid w:val="003355D7"/>
    <w:rsid w:val="0033627D"/>
    <w:rsid w:val="00347A51"/>
    <w:rsid w:val="00353F78"/>
    <w:rsid w:val="00354F55"/>
    <w:rsid w:val="003618FC"/>
    <w:rsid w:val="0036201C"/>
    <w:rsid w:val="00365265"/>
    <w:rsid w:val="00366A1B"/>
    <w:rsid w:val="00376768"/>
    <w:rsid w:val="00380F87"/>
    <w:rsid w:val="00390430"/>
    <w:rsid w:val="003A459A"/>
    <w:rsid w:val="003B75F0"/>
    <w:rsid w:val="003C270D"/>
    <w:rsid w:val="003C5999"/>
    <w:rsid w:val="003C70D8"/>
    <w:rsid w:val="003C7F14"/>
    <w:rsid w:val="003D03D9"/>
    <w:rsid w:val="003D4289"/>
    <w:rsid w:val="003D45BE"/>
    <w:rsid w:val="003D5F0F"/>
    <w:rsid w:val="003F200F"/>
    <w:rsid w:val="003F3AFD"/>
    <w:rsid w:val="004036C2"/>
    <w:rsid w:val="004076C8"/>
    <w:rsid w:val="00416FED"/>
    <w:rsid w:val="004207E3"/>
    <w:rsid w:val="00420F26"/>
    <w:rsid w:val="00421A4C"/>
    <w:rsid w:val="004238C2"/>
    <w:rsid w:val="00424073"/>
    <w:rsid w:val="0042681E"/>
    <w:rsid w:val="004271F5"/>
    <w:rsid w:val="0043219C"/>
    <w:rsid w:val="00435B5D"/>
    <w:rsid w:val="004363F7"/>
    <w:rsid w:val="0044525C"/>
    <w:rsid w:val="004553F1"/>
    <w:rsid w:val="00460182"/>
    <w:rsid w:val="004625B7"/>
    <w:rsid w:val="00463CE0"/>
    <w:rsid w:val="00471C1F"/>
    <w:rsid w:val="004809FA"/>
    <w:rsid w:val="00486EA9"/>
    <w:rsid w:val="004925A3"/>
    <w:rsid w:val="0049381A"/>
    <w:rsid w:val="004B5E6C"/>
    <w:rsid w:val="004C2D09"/>
    <w:rsid w:val="004C4A75"/>
    <w:rsid w:val="004C710A"/>
    <w:rsid w:val="004D2D19"/>
    <w:rsid w:val="004D2DA0"/>
    <w:rsid w:val="004E14A4"/>
    <w:rsid w:val="004E29A5"/>
    <w:rsid w:val="004F54BD"/>
    <w:rsid w:val="004F5501"/>
    <w:rsid w:val="004F56C5"/>
    <w:rsid w:val="004F712D"/>
    <w:rsid w:val="00501CD2"/>
    <w:rsid w:val="00501F30"/>
    <w:rsid w:val="00506185"/>
    <w:rsid w:val="00516616"/>
    <w:rsid w:val="005326DB"/>
    <w:rsid w:val="005354D0"/>
    <w:rsid w:val="005363DD"/>
    <w:rsid w:val="00537DB2"/>
    <w:rsid w:val="0054163F"/>
    <w:rsid w:val="0054172C"/>
    <w:rsid w:val="00544471"/>
    <w:rsid w:val="0054590F"/>
    <w:rsid w:val="005459EC"/>
    <w:rsid w:val="00547E3E"/>
    <w:rsid w:val="00553C3A"/>
    <w:rsid w:val="00554BA0"/>
    <w:rsid w:val="005558E8"/>
    <w:rsid w:val="00560AA9"/>
    <w:rsid w:val="00561712"/>
    <w:rsid w:val="00563043"/>
    <w:rsid w:val="00563EA4"/>
    <w:rsid w:val="005668A9"/>
    <w:rsid w:val="005718B5"/>
    <w:rsid w:val="00574178"/>
    <w:rsid w:val="005808FB"/>
    <w:rsid w:val="005811F8"/>
    <w:rsid w:val="00582605"/>
    <w:rsid w:val="00591016"/>
    <w:rsid w:val="00596D73"/>
    <w:rsid w:val="005A5274"/>
    <w:rsid w:val="005B3F67"/>
    <w:rsid w:val="005C094F"/>
    <w:rsid w:val="005D00C1"/>
    <w:rsid w:val="005D3E2C"/>
    <w:rsid w:val="005D489D"/>
    <w:rsid w:val="005D548F"/>
    <w:rsid w:val="005D6EF5"/>
    <w:rsid w:val="005E3819"/>
    <w:rsid w:val="005E3A10"/>
    <w:rsid w:val="005E7509"/>
    <w:rsid w:val="005F2080"/>
    <w:rsid w:val="005F2FB6"/>
    <w:rsid w:val="00601D7F"/>
    <w:rsid w:val="00605052"/>
    <w:rsid w:val="00605A4C"/>
    <w:rsid w:val="00612176"/>
    <w:rsid w:val="006152A3"/>
    <w:rsid w:val="006240EA"/>
    <w:rsid w:val="006350F8"/>
    <w:rsid w:val="00645B8B"/>
    <w:rsid w:val="00655044"/>
    <w:rsid w:val="006628F5"/>
    <w:rsid w:val="00666922"/>
    <w:rsid w:val="0066757F"/>
    <w:rsid w:val="00670C3E"/>
    <w:rsid w:val="00670F17"/>
    <w:rsid w:val="006710C7"/>
    <w:rsid w:val="006765D8"/>
    <w:rsid w:val="006779F2"/>
    <w:rsid w:val="00682B2A"/>
    <w:rsid w:val="006917D3"/>
    <w:rsid w:val="00695458"/>
    <w:rsid w:val="00696A83"/>
    <w:rsid w:val="006A18F1"/>
    <w:rsid w:val="006A5599"/>
    <w:rsid w:val="006A7210"/>
    <w:rsid w:val="006B411B"/>
    <w:rsid w:val="006B46B7"/>
    <w:rsid w:val="006C580A"/>
    <w:rsid w:val="006CD20F"/>
    <w:rsid w:val="006D1E69"/>
    <w:rsid w:val="006D7AD9"/>
    <w:rsid w:val="006E586E"/>
    <w:rsid w:val="006E6F83"/>
    <w:rsid w:val="006E795E"/>
    <w:rsid w:val="006F057C"/>
    <w:rsid w:val="006F22DA"/>
    <w:rsid w:val="006F2C37"/>
    <w:rsid w:val="006F2EB3"/>
    <w:rsid w:val="006F7FAC"/>
    <w:rsid w:val="007116B1"/>
    <w:rsid w:val="00714BEE"/>
    <w:rsid w:val="00716FDD"/>
    <w:rsid w:val="00721215"/>
    <w:rsid w:val="007400CF"/>
    <w:rsid w:val="00751490"/>
    <w:rsid w:val="00771B5D"/>
    <w:rsid w:val="007767B8"/>
    <w:rsid w:val="00790E4A"/>
    <w:rsid w:val="007937E7"/>
    <w:rsid w:val="007A055D"/>
    <w:rsid w:val="007A0E33"/>
    <w:rsid w:val="007A1A71"/>
    <w:rsid w:val="007A317B"/>
    <w:rsid w:val="007A4737"/>
    <w:rsid w:val="007A5DA4"/>
    <w:rsid w:val="007B23FC"/>
    <w:rsid w:val="007C2F63"/>
    <w:rsid w:val="007D0A48"/>
    <w:rsid w:val="007D0C1D"/>
    <w:rsid w:val="007D2000"/>
    <w:rsid w:val="007D4DBF"/>
    <w:rsid w:val="007E2AF8"/>
    <w:rsid w:val="007E4732"/>
    <w:rsid w:val="007E4BA4"/>
    <w:rsid w:val="007E70DD"/>
    <w:rsid w:val="007F004E"/>
    <w:rsid w:val="007F335A"/>
    <w:rsid w:val="00803104"/>
    <w:rsid w:val="008113D3"/>
    <w:rsid w:val="00812901"/>
    <w:rsid w:val="008228DC"/>
    <w:rsid w:val="00826B9A"/>
    <w:rsid w:val="00826D60"/>
    <w:rsid w:val="00831CD2"/>
    <w:rsid w:val="00842757"/>
    <w:rsid w:val="00843CC2"/>
    <w:rsid w:val="0084690D"/>
    <w:rsid w:val="0085266D"/>
    <w:rsid w:val="00873374"/>
    <w:rsid w:val="00880926"/>
    <w:rsid w:val="008836D9"/>
    <w:rsid w:val="008935CC"/>
    <w:rsid w:val="008978A7"/>
    <w:rsid w:val="008A5AA0"/>
    <w:rsid w:val="008B4F59"/>
    <w:rsid w:val="008C0CB8"/>
    <w:rsid w:val="008C2356"/>
    <w:rsid w:val="008E046B"/>
    <w:rsid w:val="008E224D"/>
    <w:rsid w:val="008F1D1A"/>
    <w:rsid w:val="008F5114"/>
    <w:rsid w:val="0090015D"/>
    <w:rsid w:val="009049B1"/>
    <w:rsid w:val="00904F97"/>
    <w:rsid w:val="00914075"/>
    <w:rsid w:val="00917E6A"/>
    <w:rsid w:val="0092530B"/>
    <w:rsid w:val="009264B4"/>
    <w:rsid w:val="009341A6"/>
    <w:rsid w:val="0094208C"/>
    <w:rsid w:val="00942A8A"/>
    <w:rsid w:val="00942F17"/>
    <w:rsid w:val="00943236"/>
    <w:rsid w:val="00947D16"/>
    <w:rsid w:val="00947E9A"/>
    <w:rsid w:val="00952813"/>
    <w:rsid w:val="00952CEF"/>
    <w:rsid w:val="00954D56"/>
    <w:rsid w:val="00955421"/>
    <w:rsid w:val="00961459"/>
    <w:rsid w:val="00975736"/>
    <w:rsid w:val="00982498"/>
    <w:rsid w:val="009871D3"/>
    <w:rsid w:val="00990E9C"/>
    <w:rsid w:val="0099337B"/>
    <w:rsid w:val="00994542"/>
    <w:rsid w:val="00994908"/>
    <w:rsid w:val="00994B10"/>
    <w:rsid w:val="00994B25"/>
    <w:rsid w:val="009B160B"/>
    <w:rsid w:val="009B3ABA"/>
    <w:rsid w:val="009B5976"/>
    <w:rsid w:val="009C237B"/>
    <w:rsid w:val="009C4DD1"/>
    <w:rsid w:val="009C5083"/>
    <w:rsid w:val="009C5FA0"/>
    <w:rsid w:val="009D374E"/>
    <w:rsid w:val="009E5A93"/>
    <w:rsid w:val="009E69DF"/>
    <w:rsid w:val="009E7F30"/>
    <w:rsid w:val="009F3154"/>
    <w:rsid w:val="009F4534"/>
    <w:rsid w:val="009F69F9"/>
    <w:rsid w:val="00A00662"/>
    <w:rsid w:val="00A00927"/>
    <w:rsid w:val="00A0306D"/>
    <w:rsid w:val="00A1211C"/>
    <w:rsid w:val="00A154F0"/>
    <w:rsid w:val="00A20113"/>
    <w:rsid w:val="00A20D78"/>
    <w:rsid w:val="00A216F2"/>
    <w:rsid w:val="00A2215F"/>
    <w:rsid w:val="00A22839"/>
    <w:rsid w:val="00A23E19"/>
    <w:rsid w:val="00A33185"/>
    <w:rsid w:val="00A35E00"/>
    <w:rsid w:val="00A3661C"/>
    <w:rsid w:val="00A4295F"/>
    <w:rsid w:val="00A43B61"/>
    <w:rsid w:val="00A53B04"/>
    <w:rsid w:val="00A540E5"/>
    <w:rsid w:val="00A661F4"/>
    <w:rsid w:val="00A66326"/>
    <w:rsid w:val="00A7271A"/>
    <w:rsid w:val="00A72EA2"/>
    <w:rsid w:val="00A73169"/>
    <w:rsid w:val="00A74D79"/>
    <w:rsid w:val="00A81E19"/>
    <w:rsid w:val="00A91DB7"/>
    <w:rsid w:val="00A951C9"/>
    <w:rsid w:val="00A9723B"/>
    <w:rsid w:val="00AA01B4"/>
    <w:rsid w:val="00AB1D43"/>
    <w:rsid w:val="00AB795F"/>
    <w:rsid w:val="00AC23C0"/>
    <w:rsid w:val="00AC6312"/>
    <w:rsid w:val="00AD1E77"/>
    <w:rsid w:val="00AD4606"/>
    <w:rsid w:val="00AD5B33"/>
    <w:rsid w:val="00AD6D80"/>
    <w:rsid w:val="00AD778F"/>
    <w:rsid w:val="00AE054F"/>
    <w:rsid w:val="00AE0BF9"/>
    <w:rsid w:val="00AF3958"/>
    <w:rsid w:val="00AF558D"/>
    <w:rsid w:val="00B008A4"/>
    <w:rsid w:val="00B02BCC"/>
    <w:rsid w:val="00B1160D"/>
    <w:rsid w:val="00B139FB"/>
    <w:rsid w:val="00B270F3"/>
    <w:rsid w:val="00B27669"/>
    <w:rsid w:val="00B313DF"/>
    <w:rsid w:val="00B31802"/>
    <w:rsid w:val="00B444E6"/>
    <w:rsid w:val="00B52011"/>
    <w:rsid w:val="00B53EFF"/>
    <w:rsid w:val="00B54AFA"/>
    <w:rsid w:val="00B5655E"/>
    <w:rsid w:val="00B57E03"/>
    <w:rsid w:val="00B671A4"/>
    <w:rsid w:val="00B67227"/>
    <w:rsid w:val="00B706F0"/>
    <w:rsid w:val="00B713C7"/>
    <w:rsid w:val="00B721B5"/>
    <w:rsid w:val="00B804E8"/>
    <w:rsid w:val="00B9575D"/>
    <w:rsid w:val="00B957C5"/>
    <w:rsid w:val="00BA5E0D"/>
    <w:rsid w:val="00BB05B8"/>
    <w:rsid w:val="00BB61D6"/>
    <w:rsid w:val="00BB6997"/>
    <w:rsid w:val="00BC206C"/>
    <w:rsid w:val="00BC265A"/>
    <w:rsid w:val="00BC431A"/>
    <w:rsid w:val="00BD1396"/>
    <w:rsid w:val="00BE3474"/>
    <w:rsid w:val="00BE4166"/>
    <w:rsid w:val="00BF5AFA"/>
    <w:rsid w:val="00C006B2"/>
    <w:rsid w:val="00C0174A"/>
    <w:rsid w:val="00C01A35"/>
    <w:rsid w:val="00C03772"/>
    <w:rsid w:val="00C04D37"/>
    <w:rsid w:val="00C04EDA"/>
    <w:rsid w:val="00C119A2"/>
    <w:rsid w:val="00C136CA"/>
    <w:rsid w:val="00C22029"/>
    <w:rsid w:val="00C3295A"/>
    <w:rsid w:val="00C3410C"/>
    <w:rsid w:val="00C35353"/>
    <w:rsid w:val="00C41FBF"/>
    <w:rsid w:val="00C4478E"/>
    <w:rsid w:val="00C53F1A"/>
    <w:rsid w:val="00C57267"/>
    <w:rsid w:val="00C6006E"/>
    <w:rsid w:val="00C616FF"/>
    <w:rsid w:val="00C62B63"/>
    <w:rsid w:val="00C661F8"/>
    <w:rsid w:val="00C72B5B"/>
    <w:rsid w:val="00C7654C"/>
    <w:rsid w:val="00C82ED4"/>
    <w:rsid w:val="00C869F3"/>
    <w:rsid w:val="00C86BC7"/>
    <w:rsid w:val="00CA2361"/>
    <w:rsid w:val="00CA33F1"/>
    <w:rsid w:val="00CB62F2"/>
    <w:rsid w:val="00CC18AC"/>
    <w:rsid w:val="00CD14B1"/>
    <w:rsid w:val="00CD349A"/>
    <w:rsid w:val="00CD768F"/>
    <w:rsid w:val="00CD7D5D"/>
    <w:rsid w:val="00CE21FB"/>
    <w:rsid w:val="00CE6BF8"/>
    <w:rsid w:val="00CF0621"/>
    <w:rsid w:val="00CF0FC4"/>
    <w:rsid w:val="00CF6932"/>
    <w:rsid w:val="00D01FE3"/>
    <w:rsid w:val="00D0381E"/>
    <w:rsid w:val="00D03F76"/>
    <w:rsid w:val="00D06CA3"/>
    <w:rsid w:val="00D07F46"/>
    <w:rsid w:val="00D10CD6"/>
    <w:rsid w:val="00D170E5"/>
    <w:rsid w:val="00D22E82"/>
    <w:rsid w:val="00D3623E"/>
    <w:rsid w:val="00D37F2F"/>
    <w:rsid w:val="00D415B9"/>
    <w:rsid w:val="00D46C39"/>
    <w:rsid w:val="00D528E8"/>
    <w:rsid w:val="00D56245"/>
    <w:rsid w:val="00D5632D"/>
    <w:rsid w:val="00D56E1C"/>
    <w:rsid w:val="00D771D0"/>
    <w:rsid w:val="00D81832"/>
    <w:rsid w:val="00D835CF"/>
    <w:rsid w:val="00D85E18"/>
    <w:rsid w:val="00D86882"/>
    <w:rsid w:val="00D92E3F"/>
    <w:rsid w:val="00D94951"/>
    <w:rsid w:val="00DA176F"/>
    <w:rsid w:val="00DA26FB"/>
    <w:rsid w:val="00DA2F8C"/>
    <w:rsid w:val="00DA36BE"/>
    <w:rsid w:val="00DB69F7"/>
    <w:rsid w:val="00DB6C3D"/>
    <w:rsid w:val="00DC4014"/>
    <w:rsid w:val="00DC5ACF"/>
    <w:rsid w:val="00DC629A"/>
    <w:rsid w:val="00DC698B"/>
    <w:rsid w:val="00DD04D8"/>
    <w:rsid w:val="00DD0622"/>
    <w:rsid w:val="00DD3573"/>
    <w:rsid w:val="00DD7468"/>
    <w:rsid w:val="00DE13F9"/>
    <w:rsid w:val="00DE25E9"/>
    <w:rsid w:val="00DE71D3"/>
    <w:rsid w:val="00DE72CF"/>
    <w:rsid w:val="00DF08A0"/>
    <w:rsid w:val="00E00E49"/>
    <w:rsid w:val="00E057EF"/>
    <w:rsid w:val="00E05B20"/>
    <w:rsid w:val="00E0722D"/>
    <w:rsid w:val="00E13BEF"/>
    <w:rsid w:val="00E16249"/>
    <w:rsid w:val="00E2A80A"/>
    <w:rsid w:val="00E357A0"/>
    <w:rsid w:val="00E43231"/>
    <w:rsid w:val="00E45B05"/>
    <w:rsid w:val="00E50404"/>
    <w:rsid w:val="00E70760"/>
    <w:rsid w:val="00E718FD"/>
    <w:rsid w:val="00E7698C"/>
    <w:rsid w:val="00E834DD"/>
    <w:rsid w:val="00E87DD3"/>
    <w:rsid w:val="00E9253C"/>
    <w:rsid w:val="00EA2C00"/>
    <w:rsid w:val="00EA310D"/>
    <w:rsid w:val="00EA448F"/>
    <w:rsid w:val="00EA4C47"/>
    <w:rsid w:val="00EA5072"/>
    <w:rsid w:val="00EB3CF0"/>
    <w:rsid w:val="00EB45B5"/>
    <w:rsid w:val="00EB4EC1"/>
    <w:rsid w:val="00EB5A1A"/>
    <w:rsid w:val="00EB5E57"/>
    <w:rsid w:val="00EB61DB"/>
    <w:rsid w:val="00ED1AD0"/>
    <w:rsid w:val="00ED4AFD"/>
    <w:rsid w:val="00ED6776"/>
    <w:rsid w:val="00EE4FBE"/>
    <w:rsid w:val="00EF5837"/>
    <w:rsid w:val="00F01892"/>
    <w:rsid w:val="00F038A1"/>
    <w:rsid w:val="00F06E4E"/>
    <w:rsid w:val="00F107F8"/>
    <w:rsid w:val="00F1113B"/>
    <w:rsid w:val="00F206A3"/>
    <w:rsid w:val="00F238E0"/>
    <w:rsid w:val="00F23B65"/>
    <w:rsid w:val="00F41FEE"/>
    <w:rsid w:val="00F44850"/>
    <w:rsid w:val="00F44E0A"/>
    <w:rsid w:val="00F45937"/>
    <w:rsid w:val="00F51E01"/>
    <w:rsid w:val="00F5416E"/>
    <w:rsid w:val="00F558BD"/>
    <w:rsid w:val="00F5649A"/>
    <w:rsid w:val="00F63B10"/>
    <w:rsid w:val="00F64BC2"/>
    <w:rsid w:val="00F64BD2"/>
    <w:rsid w:val="00F67DC5"/>
    <w:rsid w:val="00F71550"/>
    <w:rsid w:val="00F727EF"/>
    <w:rsid w:val="00F7536F"/>
    <w:rsid w:val="00F82342"/>
    <w:rsid w:val="00F861F5"/>
    <w:rsid w:val="00F86D9C"/>
    <w:rsid w:val="00F877DB"/>
    <w:rsid w:val="00F91AE4"/>
    <w:rsid w:val="00F93C8B"/>
    <w:rsid w:val="00F959DD"/>
    <w:rsid w:val="00F960D5"/>
    <w:rsid w:val="00FA39A7"/>
    <w:rsid w:val="00FA4EC5"/>
    <w:rsid w:val="00FB1231"/>
    <w:rsid w:val="00FB3E43"/>
    <w:rsid w:val="00FC1C5C"/>
    <w:rsid w:val="00FC35CA"/>
    <w:rsid w:val="00FC7E07"/>
    <w:rsid w:val="00FD0D71"/>
    <w:rsid w:val="00FD59AD"/>
    <w:rsid w:val="00FE17E2"/>
    <w:rsid w:val="00FE401E"/>
    <w:rsid w:val="00FF0563"/>
    <w:rsid w:val="00FF35C0"/>
    <w:rsid w:val="00FF6E4B"/>
    <w:rsid w:val="01825F9F"/>
    <w:rsid w:val="022DD16E"/>
    <w:rsid w:val="02CE250D"/>
    <w:rsid w:val="05298BD8"/>
    <w:rsid w:val="09BDF821"/>
    <w:rsid w:val="0A18B264"/>
    <w:rsid w:val="0A39CBD1"/>
    <w:rsid w:val="0B1E1189"/>
    <w:rsid w:val="0B48C571"/>
    <w:rsid w:val="0C203AF9"/>
    <w:rsid w:val="0D4CBA8E"/>
    <w:rsid w:val="0E344DFF"/>
    <w:rsid w:val="0E952333"/>
    <w:rsid w:val="0F78F8BE"/>
    <w:rsid w:val="10948835"/>
    <w:rsid w:val="10EE672A"/>
    <w:rsid w:val="12CE7CCC"/>
    <w:rsid w:val="13340BB2"/>
    <w:rsid w:val="1408D901"/>
    <w:rsid w:val="15C873D2"/>
    <w:rsid w:val="1617B3D9"/>
    <w:rsid w:val="178ED1BE"/>
    <w:rsid w:val="17F41994"/>
    <w:rsid w:val="18AF60B7"/>
    <w:rsid w:val="18CDFB75"/>
    <w:rsid w:val="198D7FDF"/>
    <w:rsid w:val="1AEB24FC"/>
    <w:rsid w:val="1E64018A"/>
    <w:rsid w:val="1E9E5E92"/>
    <w:rsid w:val="1EFA0825"/>
    <w:rsid w:val="204B2DE2"/>
    <w:rsid w:val="2055B9B2"/>
    <w:rsid w:val="20977526"/>
    <w:rsid w:val="21AC98FC"/>
    <w:rsid w:val="224DF7B4"/>
    <w:rsid w:val="23B6646C"/>
    <w:rsid w:val="2528D9D9"/>
    <w:rsid w:val="254F165D"/>
    <w:rsid w:val="257996F7"/>
    <w:rsid w:val="262DD7A3"/>
    <w:rsid w:val="2673C619"/>
    <w:rsid w:val="2697ADCA"/>
    <w:rsid w:val="26DACE0F"/>
    <w:rsid w:val="26FAD5B9"/>
    <w:rsid w:val="27132637"/>
    <w:rsid w:val="2719818C"/>
    <w:rsid w:val="2828B453"/>
    <w:rsid w:val="28868136"/>
    <w:rsid w:val="2896C77B"/>
    <w:rsid w:val="293C7400"/>
    <w:rsid w:val="2A2AB462"/>
    <w:rsid w:val="2A3297DC"/>
    <w:rsid w:val="2AB37FC4"/>
    <w:rsid w:val="2B5849C1"/>
    <w:rsid w:val="2BA0AC5F"/>
    <w:rsid w:val="2BAD4FB2"/>
    <w:rsid w:val="2D363C95"/>
    <w:rsid w:val="2D77B3BD"/>
    <w:rsid w:val="2F7A6C4A"/>
    <w:rsid w:val="30CF14F3"/>
    <w:rsid w:val="316726CD"/>
    <w:rsid w:val="31944E8A"/>
    <w:rsid w:val="31C49037"/>
    <w:rsid w:val="326EE051"/>
    <w:rsid w:val="32959AF1"/>
    <w:rsid w:val="32CD7DC4"/>
    <w:rsid w:val="32DBDB4A"/>
    <w:rsid w:val="332F84EE"/>
    <w:rsid w:val="33CA2DEC"/>
    <w:rsid w:val="34736169"/>
    <w:rsid w:val="34A64504"/>
    <w:rsid w:val="34F4CFC9"/>
    <w:rsid w:val="353475EB"/>
    <w:rsid w:val="3582C5A2"/>
    <w:rsid w:val="359BEDFF"/>
    <w:rsid w:val="36240969"/>
    <w:rsid w:val="3727DE06"/>
    <w:rsid w:val="383891CF"/>
    <w:rsid w:val="38950515"/>
    <w:rsid w:val="3A29A226"/>
    <w:rsid w:val="3B467B9E"/>
    <w:rsid w:val="3B906531"/>
    <w:rsid w:val="3BF20726"/>
    <w:rsid w:val="3C559053"/>
    <w:rsid w:val="3D6D15D2"/>
    <w:rsid w:val="3E7F8669"/>
    <w:rsid w:val="3F07195C"/>
    <w:rsid w:val="3FA013DC"/>
    <w:rsid w:val="3FE6DCEE"/>
    <w:rsid w:val="4090388A"/>
    <w:rsid w:val="420E914D"/>
    <w:rsid w:val="4280F967"/>
    <w:rsid w:val="42C36132"/>
    <w:rsid w:val="435E6B9E"/>
    <w:rsid w:val="43A8A9FB"/>
    <w:rsid w:val="460384D0"/>
    <w:rsid w:val="4800DDEE"/>
    <w:rsid w:val="48B962AB"/>
    <w:rsid w:val="49847041"/>
    <w:rsid w:val="49AD048B"/>
    <w:rsid w:val="49CFD7D8"/>
    <w:rsid w:val="4C101876"/>
    <w:rsid w:val="4C92C6B9"/>
    <w:rsid w:val="4D0B97AB"/>
    <w:rsid w:val="4DABE8D7"/>
    <w:rsid w:val="4DC35834"/>
    <w:rsid w:val="4E963F92"/>
    <w:rsid w:val="4EC0AC5C"/>
    <w:rsid w:val="4ED87316"/>
    <w:rsid w:val="4FA332A5"/>
    <w:rsid w:val="51B8FE1C"/>
    <w:rsid w:val="526AAF80"/>
    <w:rsid w:val="527F59FA"/>
    <w:rsid w:val="5406265B"/>
    <w:rsid w:val="558B95C3"/>
    <w:rsid w:val="55DAD3D7"/>
    <w:rsid w:val="569C4950"/>
    <w:rsid w:val="576EF44A"/>
    <w:rsid w:val="584C7D8C"/>
    <w:rsid w:val="587FFFAE"/>
    <w:rsid w:val="5908CE47"/>
    <w:rsid w:val="5979E6AA"/>
    <w:rsid w:val="5B819462"/>
    <w:rsid w:val="5C80BE4F"/>
    <w:rsid w:val="5C9F4CA7"/>
    <w:rsid w:val="5D03A0B1"/>
    <w:rsid w:val="5D06A37F"/>
    <w:rsid w:val="602D7A14"/>
    <w:rsid w:val="630BC6FA"/>
    <w:rsid w:val="65613ECC"/>
    <w:rsid w:val="65758FEB"/>
    <w:rsid w:val="66600FC4"/>
    <w:rsid w:val="66D9250A"/>
    <w:rsid w:val="66E01D8C"/>
    <w:rsid w:val="69AE0947"/>
    <w:rsid w:val="69F5765B"/>
    <w:rsid w:val="6A4C58D8"/>
    <w:rsid w:val="6B14E7AC"/>
    <w:rsid w:val="6BCE34D7"/>
    <w:rsid w:val="6E1D6F0B"/>
    <w:rsid w:val="70CEFBCA"/>
    <w:rsid w:val="7133E9F6"/>
    <w:rsid w:val="736B05C6"/>
    <w:rsid w:val="736D13C7"/>
    <w:rsid w:val="74B6C76F"/>
    <w:rsid w:val="75180128"/>
    <w:rsid w:val="7527329E"/>
    <w:rsid w:val="7580FA15"/>
    <w:rsid w:val="75FBFCC5"/>
    <w:rsid w:val="771770E3"/>
    <w:rsid w:val="77910290"/>
    <w:rsid w:val="78352C10"/>
    <w:rsid w:val="79014E35"/>
    <w:rsid w:val="79D9F53E"/>
    <w:rsid w:val="79E10723"/>
    <w:rsid w:val="7A54D9C4"/>
    <w:rsid w:val="7A78035F"/>
    <w:rsid w:val="7AA42E3A"/>
    <w:rsid w:val="7B4C5C09"/>
    <w:rsid w:val="7B6B3A23"/>
    <w:rsid w:val="7DE21847"/>
    <w:rsid w:val="7ED7E9BD"/>
    <w:rsid w:val="7F350981"/>
    <w:rsid w:val="7F687102"/>
    <w:rsid w:val="7F6CFB9F"/>
    <w:rsid w:val="7FAF397A"/>
    <w:rsid w:val="7FD8C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3D5F0F"/>
    <w:rPr>
      <w:rFonts w:ascii="Arial" w:hAnsi="Arial"/>
      <w:sz w:val="24"/>
      <w:lang w:eastAsia="en-US"/>
    </w:rPr>
  </w:style>
  <w:style w:type="paragraph" w:styleId="CommentText">
    <w:name w:val="annotation text"/>
    <w:basedOn w:val="Normal"/>
    <w:link w:val="CommentTextChar"/>
    <w:semiHidden/>
    <w:unhideWhenUsed/>
    <w:rsid w:val="00EB4EC1"/>
    <w:rPr>
      <w:sz w:val="20"/>
    </w:rPr>
  </w:style>
  <w:style w:type="character" w:customStyle="1" w:styleId="CommentTextChar">
    <w:name w:val="Comment Text Char"/>
    <w:basedOn w:val="DefaultParagraphFont"/>
    <w:link w:val="CommentText"/>
    <w:semiHidden/>
    <w:rsid w:val="00EB4EC1"/>
    <w:rPr>
      <w:rFonts w:ascii="Arial" w:hAnsi="Arial"/>
      <w:lang w:eastAsia="en-US"/>
    </w:rPr>
  </w:style>
  <w:style w:type="character" w:styleId="CommentReference">
    <w:name w:val="annotation reference"/>
    <w:basedOn w:val="DefaultParagraphFont"/>
    <w:semiHidden/>
    <w:unhideWhenUsed/>
    <w:rsid w:val="00EB4EC1"/>
    <w:rPr>
      <w:sz w:val="16"/>
      <w:szCs w:val="16"/>
    </w:rPr>
  </w:style>
  <w:style w:type="paragraph" w:styleId="CommentSubject">
    <w:name w:val="annotation subject"/>
    <w:basedOn w:val="CommentText"/>
    <w:next w:val="CommentText"/>
    <w:link w:val="CommentSubjectChar"/>
    <w:semiHidden/>
    <w:unhideWhenUsed/>
    <w:rsid w:val="008E046B"/>
    <w:rPr>
      <w:b/>
      <w:bCs/>
    </w:rPr>
  </w:style>
  <w:style w:type="character" w:customStyle="1" w:styleId="CommentSubjectChar">
    <w:name w:val="Comment Subject Char"/>
    <w:basedOn w:val="CommentTextChar"/>
    <w:link w:val="CommentSubject"/>
    <w:semiHidden/>
    <w:rsid w:val="008E046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2724">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1478099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21203013">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853716520">
      <w:bodyDiv w:val="1"/>
      <w:marLeft w:val="0"/>
      <w:marRight w:val="0"/>
      <w:marTop w:val="0"/>
      <w:marBottom w:val="0"/>
      <w:divBdr>
        <w:top w:val="none" w:sz="0" w:space="0" w:color="auto"/>
        <w:left w:val="none" w:sz="0" w:space="0" w:color="auto"/>
        <w:bottom w:val="none" w:sz="0" w:space="0" w:color="auto"/>
        <w:right w:val="none" w:sz="0" w:space="0" w:color="auto"/>
      </w:divBdr>
      <w:divsChild>
        <w:div w:id="1069615600">
          <w:marLeft w:val="360"/>
          <w:marRight w:val="0"/>
          <w:marTop w:val="200"/>
          <w:marBottom w:val="0"/>
          <w:divBdr>
            <w:top w:val="none" w:sz="0" w:space="0" w:color="auto"/>
            <w:left w:val="none" w:sz="0" w:space="0" w:color="auto"/>
            <w:bottom w:val="none" w:sz="0" w:space="0" w:color="auto"/>
            <w:right w:val="none" w:sz="0" w:space="0" w:color="auto"/>
          </w:divBdr>
        </w:div>
        <w:div w:id="2118326041">
          <w:marLeft w:val="360"/>
          <w:marRight w:val="0"/>
          <w:marTop w:val="200"/>
          <w:marBottom w:val="0"/>
          <w:divBdr>
            <w:top w:val="none" w:sz="0" w:space="0" w:color="auto"/>
            <w:left w:val="none" w:sz="0" w:space="0" w:color="auto"/>
            <w:bottom w:val="none" w:sz="0" w:space="0" w:color="auto"/>
            <w:right w:val="none" w:sz="0" w:space="0" w:color="auto"/>
          </w:divBdr>
        </w:div>
        <w:div w:id="2094810739">
          <w:marLeft w:val="360"/>
          <w:marRight w:val="0"/>
          <w:marTop w:val="200"/>
          <w:marBottom w:val="0"/>
          <w:divBdr>
            <w:top w:val="none" w:sz="0" w:space="0" w:color="auto"/>
            <w:left w:val="none" w:sz="0" w:space="0" w:color="auto"/>
            <w:bottom w:val="none" w:sz="0" w:space="0" w:color="auto"/>
            <w:right w:val="none" w:sz="0" w:space="0" w:color="auto"/>
          </w:divBdr>
        </w:div>
        <w:div w:id="1012494687">
          <w:marLeft w:val="360"/>
          <w:marRight w:val="0"/>
          <w:marTop w:val="200"/>
          <w:marBottom w:val="0"/>
          <w:divBdr>
            <w:top w:val="none" w:sz="0" w:space="0" w:color="auto"/>
            <w:left w:val="none" w:sz="0" w:space="0" w:color="auto"/>
            <w:bottom w:val="none" w:sz="0" w:space="0" w:color="auto"/>
            <w:right w:val="none" w:sz="0" w:space="0" w:color="auto"/>
          </w:divBdr>
        </w:div>
        <w:div w:id="5909249">
          <w:marLeft w:val="360"/>
          <w:marRight w:val="0"/>
          <w:marTop w:val="200"/>
          <w:marBottom w:val="0"/>
          <w:divBdr>
            <w:top w:val="none" w:sz="0" w:space="0" w:color="auto"/>
            <w:left w:val="none" w:sz="0" w:space="0" w:color="auto"/>
            <w:bottom w:val="none" w:sz="0" w:space="0" w:color="auto"/>
            <w:right w:val="none" w:sz="0" w:space="0" w:color="auto"/>
          </w:divBdr>
        </w:div>
        <w:div w:id="1818838581">
          <w:marLeft w:val="360"/>
          <w:marRight w:val="0"/>
          <w:marTop w:val="200"/>
          <w:marBottom w:val="0"/>
          <w:divBdr>
            <w:top w:val="none" w:sz="0" w:space="0" w:color="auto"/>
            <w:left w:val="none" w:sz="0" w:space="0" w:color="auto"/>
            <w:bottom w:val="none" w:sz="0" w:space="0" w:color="auto"/>
            <w:right w:val="none" w:sz="0" w:space="0" w:color="auto"/>
          </w:divBdr>
        </w:div>
        <w:div w:id="2141873122">
          <w:marLeft w:val="360"/>
          <w:marRight w:val="0"/>
          <w:marTop w:val="200"/>
          <w:marBottom w:val="0"/>
          <w:divBdr>
            <w:top w:val="none" w:sz="0" w:space="0" w:color="auto"/>
            <w:left w:val="none" w:sz="0" w:space="0" w:color="auto"/>
            <w:bottom w:val="none" w:sz="0" w:space="0" w:color="auto"/>
            <w:right w:val="none" w:sz="0" w:space="0" w:color="auto"/>
          </w:divBdr>
        </w:div>
        <w:div w:id="1898776801">
          <w:marLeft w:val="360"/>
          <w:marRight w:val="0"/>
          <w:marTop w:val="200"/>
          <w:marBottom w:val="0"/>
          <w:divBdr>
            <w:top w:val="none" w:sz="0" w:space="0" w:color="auto"/>
            <w:left w:val="none" w:sz="0" w:space="0" w:color="auto"/>
            <w:bottom w:val="none" w:sz="0" w:space="0" w:color="auto"/>
            <w:right w:val="none" w:sz="0" w:space="0" w:color="auto"/>
          </w:divBdr>
        </w:div>
        <w:div w:id="84366318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essica.Farmer@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9C20F3-7DD3-4EF3-944E-05BD0019E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112EEBA5-2D35-4C07-AF7F-79817A1E9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9</Pages>
  <Words>2369</Words>
  <Characters>13097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32</cp:revision>
  <cp:lastPrinted>2014-10-31T16:34:00Z</cp:lastPrinted>
  <dcterms:created xsi:type="dcterms:W3CDTF">2022-10-03T08:24:00Z</dcterms:created>
  <dcterms:modified xsi:type="dcterms:W3CDTF">2022-10-05T09:23:00Z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